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宋体" w:hAnsi="宋体" w:cs="宋体"/>
          <w:color w:val="auto"/>
          <w:sz w:val="44"/>
          <w:szCs w:val="44"/>
        </w:rPr>
      </w:pPr>
    </w:p>
    <w:p>
      <w:pPr>
        <w:pStyle w:val="11"/>
        <w:jc w:val="center"/>
        <w:rPr>
          <w:rFonts w:hint="eastAsia" w:ascii="宋体" w:hAnsi="宋体" w:eastAsia="宋体" w:cs="宋体"/>
          <w:color w:val="auto"/>
          <w:kern w:val="0"/>
          <w:sz w:val="52"/>
          <w:szCs w:val="52"/>
          <w:lang w:eastAsia="zh-CN"/>
        </w:rPr>
      </w:pPr>
      <w:bookmarkStart w:id="0" w:name="_Toc10236"/>
      <w:bookmarkStart w:id="1" w:name="_Toc19244"/>
      <w:r>
        <w:rPr>
          <w:rFonts w:hint="eastAsia" w:ascii="宋体" w:hAnsi="宋体" w:cs="宋体"/>
          <w:color w:val="auto"/>
          <w:sz w:val="44"/>
          <w:szCs w:val="44"/>
        </w:rPr>
        <w:t>郑州航空港兴港电力有限公司开闭所视频监控系统采购项目</w:t>
      </w:r>
      <w:r>
        <w:rPr>
          <w:rFonts w:hint="eastAsia" w:ascii="宋体" w:hAnsi="宋体" w:cs="宋体"/>
          <w:color w:val="auto"/>
          <w:sz w:val="44"/>
          <w:szCs w:val="44"/>
          <w:lang w:eastAsia="zh-CN"/>
        </w:rPr>
        <w:t>（</w:t>
      </w:r>
      <w:r>
        <w:rPr>
          <w:rFonts w:hint="eastAsia" w:ascii="宋体" w:hAnsi="宋体" w:cs="宋体"/>
          <w:color w:val="auto"/>
          <w:sz w:val="44"/>
          <w:szCs w:val="44"/>
          <w:lang w:val="en-US" w:eastAsia="zh-CN"/>
        </w:rPr>
        <w:t>二次</w:t>
      </w:r>
      <w:r>
        <w:rPr>
          <w:rFonts w:hint="eastAsia" w:ascii="宋体" w:hAnsi="宋体" w:cs="宋体"/>
          <w:color w:val="auto"/>
          <w:sz w:val="44"/>
          <w:szCs w:val="44"/>
          <w:lang w:eastAsia="zh-CN"/>
        </w:rPr>
        <w:t>）</w:t>
      </w:r>
    </w:p>
    <w:p>
      <w:pPr>
        <w:autoSpaceDE w:val="0"/>
        <w:autoSpaceDN w:val="0"/>
        <w:adjustRightInd w:val="0"/>
        <w:jc w:val="center"/>
        <w:rPr>
          <w:rFonts w:ascii="宋体" w:hAnsi="宋体" w:cs="宋体"/>
          <w:b/>
          <w:color w:val="auto"/>
          <w:spacing w:val="60"/>
          <w:kern w:val="0"/>
          <w:sz w:val="70"/>
          <w:szCs w:val="50"/>
        </w:rPr>
      </w:pPr>
    </w:p>
    <w:p>
      <w:pPr>
        <w:autoSpaceDE w:val="0"/>
        <w:autoSpaceDN w:val="0"/>
        <w:adjustRightInd w:val="0"/>
        <w:jc w:val="center"/>
        <w:rPr>
          <w:rFonts w:ascii="宋体" w:hAnsi="宋体" w:cs="宋体"/>
          <w:b/>
          <w:color w:val="auto"/>
          <w:spacing w:val="60"/>
          <w:kern w:val="0"/>
          <w:sz w:val="84"/>
          <w:szCs w:val="84"/>
        </w:rPr>
      </w:pPr>
      <w:r>
        <w:rPr>
          <w:rFonts w:hint="eastAsia" w:ascii="宋体" w:hAnsi="宋体" w:cs="宋体"/>
          <w:b/>
          <w:color w:val="auto"/>
          <w:spacing w:val="60"/>
          <w:kern w:val="0"/>
          <w:sz w:val="84"/>
          <w:szCs w:val="84"/>
        </w:rPr>
        <w:t>询比文件</w:t>
      </w:r>
    </w:p>
    <w:p>
      <w:pPr>
        <w:autoSpaceDE w:val="0"/>
        <w:autoSpaceDN w:val="0"/>
        <w:adjustRightInd w:val="0"/>
        <w:jc w:val="center"/>
        <w:rPr>
          <w:rFonts w:ascii="宋体" w:hAnsi="宋体" w:cs="宋体"/>
          <w:color w:val="auto"/>
          <w:kern w:val="0"/>
          <w:sz w:val="24"/>
        </w:rPr>
      </w:pPr>
    </w:p>
    <w:p>
      <w:pPr>
        <w:pStyle w:val="11"/>
        <w:rPr>
          <w:rFonts w:ascii="宋体" w:hAnsi="宋体" w:cs="宋体"/>
          <w:color w:val="auto"/>
        </w:rPr>
      </w:pPr>
    </w:p>
    <w:p>
      <w:pPr>
        <w:autoSpaceDE w:val="0"/>
        <w:autoSpaceDN w:val="0"/>
        <w:adjustRightInd w:val="0"/>
        <w:jc w:val="center"/>
        <w:rPr>
          <w:rFonts w:ascii="宋体" w:hAnsi="宋体" w:cs="宋体"/>
          <w:color w:val="auto"/>
          <w:kern w:val="0"/>
          <w:sz w:val="44"/>
          <w:szCs w:val="44"/>
        </w:rPr>
      </w:pPr>
    </w:p>
    <w:p>
      <w:pPr>
        <w:pStyle w:val="52"/>
        <w:rPr>
          <w:rFonts w:ascii="宋体" w:hAnsi="宋体"/>
          <w:color w:val="auto"/>
        </w:rPr>
      </w:pPr>
    </w:p>
    <w:p>
      <w:pPr>
        <w:pStyle w:val="52"/>
        <w:rPr>
          <w:rFonts w:ascii="宋体" w:hAnsi="宋体"/>
          <w:color w:val="auto"/>
        </w:rPr>
      </w:pPr>
    </w:p>
    <w:p>
      <w:pPr>
        <w:pStyle w:val="52"/>
        <w:rPr>
          <w:rFonts w:ascii="宋体" w:hAnsi="宋体"/>
          <w:color w:val="auto"/>
        </w:rPr>
      </w:pPr>
    </w:p>
    <w:p>
      <w:pPr>
        <w:autoSpaceDE w:val="0"/>
        <w:autoSpaceDN w:val="0"/>
        <w:adjustRightInd w:val="0"/>
        <w:jc w:val="center"/>
        <w:rPr>
          <w:rFonts w:ascii="宋体" w:hAnsi="宋体" w:cs="宋体"/>
          <w:color w:val="auto"/>
          <w:kern w:val="0"/>
          <w:sz w:val="44"/>
          <w:szCs w:val="44"/>
        </w:rPr>
      </w:pPr>
    </w:p>
    <w:p>
      <w:pPr>
        <w:pStyle w:val="52"/>
        <w:rPr>
          <w:rFonts w:ascii="宋体" w:hAnsi="宋体"/>
          <w:color w:val="auto"/>
        </w:rPr>
      </w:pPr>
    </w:p>
    <w:p>
      <w:pPr>
        <w:autoSpaceDE w:val="0"/>
        <w:autoSpaceDN w:val="0"/>
        <w:adjustRightInd w:val="0"/>
        <w:rPr>
          <w:rFonts w:ascii="宋体" w:hAnsi="宋体" w:cs="宋体"/>
          <w:color w:val="auto"/>
          <w:kern w:val="0"/>
          <w:sz w:val="28"/>
          <w:szCs w:val="28"/>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u w:val="single"/>
        </w:rPr>
      </w:pPr>
      <w:r>
        <w:rPr>
          <w:rFonts w:hint="eastAsia" w:hAnsi="宋体"/>
          <w:b/>
          <w:bCs/>
          <w:color w:val="auto"/>
          <w:sz w:val="32"/>
          <w:szCs w:val="32"/>
        </w:rPr>
        <w:t>采   购   人：</w:t>
      </w:r>
      <w:r>
        <w:rPr>
          <w:rFonts w:hint="eastAsia" w:hAnsi="宋体"/>
          <w:b/>
          <w:bCs/>
          <w:color w:val="auto"/>
          <w:sz w:val="32"/>
          <w:szCs w:val="32"/>
          <w:u w:val="single"/>
        </w:rPr>
        <w:t>郑州航空港兴港电力有限公司</w:t>
      </w:r>
    </w:p>
    <w:p>
      <w:pPr>
        <w:pStyle w:val="51"/>
        <w:ind w:firstLine="1059" w:firstLineChars="331"/>
        <w:rPr>
          <w:rFonts w:hAnsi="宋体"/>
          <w:b/>
          <w:bCs/>
          <w:color w:val="auto"/>
          <w:sz w:val="32"/>
          <w:szCs w:val="32"/>
        </w:rPr>
      </w:pPr>
      <w:r>
        <w:rPr>
          <w:rFonts w:hint="eastAsia" w:hAnsi="宋体"/>
          <w:b/>
          <w:bCs/>
          <w:color w:val="auto"/>
          <w:sz w:val="32"/>
          <w:szCs w:val="32"/>
        </w:rPr>
        <w:t>日        期：</w:t>
      </w:r>
      <w:r>
        <w:rPr>
          <w:rFonts w:hint="eastAsia" w:hAnsi="宋体"/>
          <w:b/>
          <w:bCs/>
          <w:color w:val="auto"/>
          <w:sz w:val="32"/>
          <w:szCs w:val="32"/>
          <w:u w:val="single"/>
        </w:rPr>
        <w:t xml:space="preserve"> 2023 </w:t>
      </w:r>
      <w:r>
        <w:rPr>
          <w:rFonts w:hint="eastAsia" w:hAnsi="宋体"/>
          <w:b/>
          <w:bCs/>
          <w:color w:val="auto"/>
          <w:sz w:val="32"/>
          <w:szCs w:val="32"/>
        </w:rPr>
        <w:t>年</w:t>
      </w:r>
      <w:r>
        <w:rPr>
          <w:rFonts w:hint="eastAsia" w:hAnsi="宋体"/>
          <w:b/>
          <w:bCs/>
          <w:color w:val="auto"/>
          <w:sz w:val="32"/>
          <w:szCs w:val="32"/>
          <w:u w:val="single"/>
        </w:rPr>
        <w:t xml:space="preserve"> 1</w:t>
      </w:r>
      <w:r>
        <w:rPr>
          <w:rFonts w:hint="eastAsia" w:hAnsi="宋体"/>
          <w:b/>
          <w:bCs/>
          <w:color w:val="auto"/>
          <w:sz w:val="32"/>
          <w:szCs w:val="32"/>
          <w:u w:val="single"/>
          <w:lang w:val="en-US" w:eastAsia="zh-CN"/>
        </w:rPr>
        <w:t>1</w:t>
      </w:r>
      <w:r>
        <w:rPr>
          <w:rFonts w:hint="eastAsia" w:hAnsi="宋体"/>
          <w:b/>
          <w:bCs/>
          <w:color w:val="auto"/>
          <w:sz w:val="32"/>
          <w:szCs w:val="32"/>
          <w:u w:val="single"/>
        </w:rPr>
        <w:t xml:space="preserve"> </w:t>
      </w:r>
      <w:r>
        <w:rPr>
          <w:rFonts w:hint="eastAsia" w:hAnsi="宋体"/>
          <w:b/>
          <w:bCs/>
          <w:color w:val="auto"/>
          <w:sz w:val="32"/>
          <w:szCs w:val="32"/>
        </w:rPr>
        <w:t>月</w:t>
      </w:r>
    </w:p>
    <w:p>
      <w:pPr>
        <w:jc w:val="center"/>
        <w:rPr>
          <w:rFonts w:ascii="宋体" w:hAnsi="宋体"/>
          <w:b/>
          <w:bCs/>
          <w:color w:val="auto"/>
          <w:sz w:val="24"/>
        </w:rPr>
        <w:sectPr>
          <w:headerReference r:id="rId4" w:type="first"/>
          <w:headerReference r:id="rId3" w:type="default"/>
          <w:footerReference r:id="rId5" w:type="default"/>
          <w:pgSz w:w="11906" w:h="16838"/>
          <w:pgMar w:top="1417" w:right="1417" w:bottom="1417" w:left="1417" w:header="851" w:footer="992" w:gutter="0"/>
          <w:cols w:space="720" w:num="1"/>
          <w:titlePg/>
          <w:docGrid w:type="linesAndChars" w:linePitch="312" w:charSpace="0"/>
        </w:sectPr>
      </w:pPr>
    </w:p>
    <w:p>
      <w:pPr>
        <w:spacing w:before="120" w:after="120" w:line="400" w:lineRule="exact"/>
        <w:jc w:val="center"/>
        <w:rPr>
          <w:rFonts w:ascii="宋体" w:hAnsi="宋体"/>
          <w:b/>
          <w:bCs/>
          <w:color w:val="auto"/>
          <w:sz w:val="32"/>
          <w:szCs w:val="32"/>
        </w:rPr>
      </w:pPr>
      <w:bookmarkStart w:id="2" w:name="_Toc32032"/>
      <w:r>
        <w:rPr>
          <w:rFonts w:hint="eastAsia" w:ascii="宋体" w:hAnsi="宋体"/>
          <w:b/>
          <w:bCs/>
          <w:color w:val="auto"/>
          <w:sz w:val="32"/>
          <w:szCs w:val="32"/>
        </w:rPr>
        <w:t xml:space="preserve">第一章 </w:t>
      </w:r>
      <w:bookmarkEnd w:id="0"/>
      <w:bookmarkEnd w:id="1"/>
      <w:r>
        <w:rPr>
          <w:rFonts w:hint="eastAsia" w:ascii="宋体" w:hAnsi="宋体"/>
          <w:b/>
          <w:bCs/>
          <w:color w:val="auto"/>
          <w:sz w:val="32"/>
          <w:szCs w:val="32"/>
        </w:rPr>
        <w:t>询比公告</w:t>
      </w:r>
      <w:bookmarkEnd w:id="2"/>
    </w:p>
    <w:p>
      <w:pPr>
        <w:jc w:val="center"/>
        <w:rPr>
          <w:rFonts w:ascii="黑体" w:hAnsi="黑体" w:eastAsia="黑体" w:cs="黑体"/>
          <w:color w:val="auto"/>
          <w:sz w:val="28"/>
          <w:szCs w:val="28"/>
        </w:rPr>
      </w:pPr>
      <w:bookmarkStart w:id="3" w:name="_Toc152042288"/>
      <w:bookmarkEnd w:id="3"/>
      <w:bookmarkStart w:id="4" w:name="_Toc179632528"/>
      <w:bookmarkEnd w:id="4"/>
      <w:bookmarkStart w:id="5" w:name="_Toc144974480"/>
      <w:bookmarkEnd w:id="5"/>
      <w:bookmarkStart w:id="6" w:name="_Toc152045512"/>
      <w:bookmarkEnd w:id="6"/>
      <w:r>
        <w:rPr>
          <w:rFonts w:hint="eastAsia" w:ascii="黑体" w:hAnsi="黑体" w:eastAsia="黑体" w:cs="黑体"/>
          <w:color w:val="auto"/>
          <w:sz w:val="28"/>
          <w:szCs w:val="28"/>
        </w:rPr>
        <w:t>郑州航空港兴港电力有限公司开闭所视频监控系统采购项目</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二次</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询比公告</w:t>
      </w:r>
    </w:p>
    <w:p>
      <w:pPr>
        <w:spacing w:line="360" w:lineRule="auto"/>
        <w:rPr>
          <w:rFonts w:hint="eastAsia" w:ascii="宋体" w:hAnsi="宋体" w:eastAsia="宋体" w:cs="宋体"/>
          <w:color w:val="auto"/>
          <w:szCs w:val="21"/>
          <w:lang w:eastAsia="zh-CN"/>
        </w:rPr>
      </w:pPr>
      <w:r>
        <w:rPr>
          <w:rFonts w:hint="eastAsia" w:ascii="宋体" w:hAnsi="宋体" w:cs="宋体"/>
          <w:b/>
          <w:bCs/>
          <w:color w:val="auto"/>
          <w:szCs w:val="21"/>
        </w:rPr>
        <w:t>一、项目名称</w:t>
      </w:r>
      <w:r>
        <w:rPr>
          <w:rFonts w:hint="eastAsia" w:ascii="宋体" w:hAnsi="宋体" w:cs="宋体"/>
          <w:color w:val="auto"/>
          <w:szCs w:val="21"/>
        </w:rPr>
        <w:t>：郑州航空港兴港电力有限公司开闭所视频监控系统采购项目</w:t>
      </w:r>
      <w:r>
        <w:rPr>
          <w:rFonts w:hint="eastAsia" w:ascii="宋体" w:hAnsi="宋体" w:cs="宋体"/>
          <w:color w:val="auto"/>
          <w:szCs w:val="21"/>
          <w:lang w:eastAsia="zh-CN"/>
        </w:rPr>
        <w:t>（</w:t>
      </w:r>
      <w:r>
        <w:rPr>
          <w:rFonts w:hint="eastAsia" w:ascii="宋体" w:hAnsi="宋体" w:cs="宋体"/>
          <w:color w:val="auto"/>
          <w:szCs w:val="21"/>
          <w:lang w:val="en-US" w:eastAsia="zh-CN"/>
        </w:rPr>
        <w:t>二次</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b/>
          <w:bCs/>
          <w:color w:val="auto"/>
          <w:szCs w:val="21"/>
        </w:rPr>
        <w:t>二、项目预算金额：</w:t>
      </w:r>
      <w:r>
        <w:rPr>
          <w:rFonts w:hint="eastAsia" w:ascii="宋体" w:hAnsi="宋体" w:cs="宋体"/>
          <w:color w:val="auto"/>
          <w:szCs w:val="21"/>
          <w:highlight w:val="none"/>
          <w:lang w:val="en-US" w:eastAsia="zh-CN"/>
        </w:rPr>
        <w:t>19.44</w:t>
      </w:r>
      <w:r>
        <w:rPr>
          <w:rFonts w:hint="eastAsia" w:ascii="宋体" w:hAnsi="宋体" w:cs="宋体"/>
          <w:color w:val="auto"/>
          <w:szCs w:val="21"/>
          <w:highlight w:val="none"/>
        </w:rPr>
        <w:t>万元</w:t>
      </w:r>
      <w:r>
        <w:rPr>
          <w:rFonts w:hint="eastAsia" w:ascii="宋体" w:hAnsi="宋体" w:cs="宋体"/>
          <w:color w:val="auto"/>
          <w:szCs w:val="21"/>
        </w:rPr>
        <w:t>（含税）</w:t>
      </w:r>
    </w:p>
    <w:p>
      <w:pPr>
        <w:spacing w:line="360" w:lineRule="auto"/>
        <w:rPr>
          <w:rFonts w:ascii="宋体" w:hAnsi="宋体" w:cs="宋体"/>
          <w:b/>
          <w:bCs/>
          <w:color w:val="auto"/>
          <w:szCs w:val="21"/>
        </w:rPr>
      </w:pPr>
      <w:r>
        <w:rPr>
          <w:rFonts w:hint="eastAsia" w:ascii="宋体" w:hAnsi="宋体" w:cs="宋体"/>
          <w:b/>
          <w:bCs/>
          <w:color w:val="auto"/>
          <w:szCs w:val="21"/>
        </w:rPr>
        <w:t>三、项目基本情况：</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kern w:val="0"/>
          <w:szCs w:val="21"/>
        </w:rPr>
        <w:t>项目概况：郑州航空港兴港电力有限公司现有30座开闭所、5处值班室、1处仓库需安装视频监控，共计30台可旋转球机，36台枪机。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2.采购范围：郑州航空港兴港电力有限公司开闭所视频监控系统采购项目的供货、安装、调试相关技术服务、人员培训、现场技术支持、质保服务和售后服务。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3.质量要求：产品必须符合最新的国家、行业规范、生产标准及采购文件中载明的相关技术要求，且厂家按规定提供全新的、完整无损的、加工生产的最终产品。</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4.交货期：合同签订后</w:t>
      </w:r>
      <w:r>
        <w:rPr>
          <w:rFonts w:hint="eastAsia" w:ascii="宋体" w:hAnsi="宋体" w:cs="宋体"/>
          <w:color w:val="auto"/>
          <w:szCs w:val="21"/>
          <w:lang w:val="en-US" w:eastAsia="zh-CN"/>
        </w:rPr>
        <w:t>20</w:t>
      </w:r>
      <w:r>
        <w:rPr>
          <w:rFonts w:hint="eastAsia" w:ascii="宋体" w:hAnsi="宋体" w:cs="宋体"/>
          <w:color w:val="auto"/>
          <w:szCs w:val="21"/>
        </w:rPr>
        <w:t>日历天内交付。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5.质保期：自交货之日起不少于1年。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5.交货地点：采购人指定地点。</w:t>
      </w:r>
    </w:p>
    <w:p>
      <w:pPr>
        <w:spacing w:line="360" w:lineRule="auto"/>
        <w:ind w:firstLine="420" w:firstLineChars="200"/>
        <w:jc w:val="left"/>
        <w:rPr>
          <w:color w:val="auto"/>
          <w:highlight w:val="yellow"/>
        </w:rPr>
      </w:pPr>
      <w:r>
        <w:rPr>
          <w:rFonts w:hint="eastAsia" w:ascii="宋体" w:hAnsi="宋体" w:cs="宋体"/>
          <w:color w:val="auto"/>
          <w:szCs w:val="21"/>
        </w:rPr>
        <w:t>6.售后服务：提供1年免费质保、免费使用培训服务，终身有偿维修和技术支持。一旦产品出现故障，无论是保修期内还是保修期外，在48小时内予以响应并将故障排除。</w:t>
      </w:r>
    </w:p>
    <w:p>
      <w:pPr>
        <w:spacing w:line="360" w:lineRule="auto"/>
        <w:rPr>
          <w:rFonts w:hint="eastAsia" w:ascii="宋体" w:hAnsi="宋体" w:cs="宋体"/>
          <w:b/>
          <w:bCs/>
          <w:color w:val="auto"/>
          <w:szCs w:val="21"/>
        </w:rPr>
      </w:pPr>
      <w:r>
        <w:rPr>
          <w:rFonts w:hint="eastAsia" w:ascii="宋体" w:hAnsi="宋体" w:cs="宋体"/>
          <w:b/>
          <w:bCs/>
          <w:color w:val="auto"/>
          <w:szCs w:val="21"/>
        </w:rPr>
        <w:t>四、响应单位资格要求</w:t>
      </w:r>
    </w:p>
    <w:p>
      <w:pPr>
        <w:widowControl/>
        <w:snapToGrid/>
        <w:spacing w:line="360" w:lineRule="auto"/>
        <w:ind w:firstLine="420" w:firstLineChars="200"/>
        <w:jc w:val="left"/>
        <w:rPr>
          <w:rFonts w:hint="eastAsia" w:ascii="宋体" w:hAnsi="宋体" w:cs="宋体"/>
          <w:color w:val="auto"/>
          <w:kern w:val="2"/>
          <w:szCs w:val="21"/>
        </w:rPr>
      </w:pPr>
      <w:r>
        <w:rPr>
          <w:rFonts w:hint="eastAsia" w:ascii="宋体" w:hAnsi="宋体" w:cs="宋体"/>
          <w:color w:val="auto"/>
          <w:kern w:val="2"/>
          <w:szCs w:val="21"/>
        </w:rPr>
        <w:t>1.企业资质要求：供应商须是中华人民共和国境内合法注册的独立法人或其他组织，合法设立并有效存续，具有有效的营业执照或其他证明材料。。</w:t>
      </w:r>
    </w:p>
    <w:p>
      <w:pPr>
        <w:widowControl/>
        <w:snapToGrid/>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2.资质要求：响应单位具有履行合同所必需的设备和专业技术能力，能够满足本项目采购要求，在人员、设备、资金、制造、工艺装备和试验设备等方面具有保障如期交货的能力，其中</w:t>
      </w:r>
      <w:r>
        <w:rPr>
          <w:rFonts w:hint="eastAsia" w:ascii="宋体" w:hAnsi="宋体" w:cs="宋体"/>
          <w:color w:val="auto"/>
          <w:szCs w:val="21"/>
          <w:highlight w:val="none"/>
          <w:lang w:eastAsia="zh-CN"/>
        </w:rPr>
        <w:t>涉及产品</w:t>
      </w:r>
      <w:r>
        <w:rPr>
          <w:rFonts w:hint="eastAsia" w:ascii="宋体" w:hAnsi="宋体" w:cs="宋体"/>
          <w:color w:val="auto"/>
          <w:szCs w:val="21"/>
          <w:highlight w:val="none"/>
        </w:rPr>
        <w:t>应提供</w:t>
      </w:r>
      <w:r>
        <w:rPr>
          <w:rFonts w:hint="eastAsia" w:ascii="宋体" w:hAnsi="宋体" w:cs="宋体"/>
          <w:color w:val="auto"/>
          <w:szCs w:val="21"/>
          <w:highlight w:val="none"/>
          <w:lang w:eastAsia="zh-CN"/>
        </w:rPr>
        <w:t>厂家</w:t>
      </w:r>
      <w:r>
        <w:rPr>
          <w:rFonts w:hint="eastAsia" w:ascii="宋体" w:hAnsi="宋体" w:cs="宋体"/>
          <w:color w:val="auto"/>
          <w:szCs w:val="21"/>
          <w:highlight w:val="none"/>
        </w:rPr>
        <w:t>承诺书</w:t>
      </w:r>
      <w:r>
        <w:rPr>
          <w:rFonts w:hint="eastAsia" w:ascii="宋体" w:hAnsi="宋体" w:cs="宋体"/>
          <w:color w:val="auto"/>
          <w:szCs w:val="21"/>
          <w:highlight w:val="none"/>
          <w:lang w:eastAsia="zh-CN"/>
        </w:rPr>
        <w:t>或</w:t>
      </w:r>
      <w:r>
        <w:rPr>
          <w:rFonts w:hint="eastAsia" w:ascii="宋体" w:hAnsi="宋体" w:cs="宋体"/>
          <w:color w:val="auto"/>
          <w:szCs w:val="21"/>
          <w:highlight w:val="none"/>
        </w:rPr>
        <w:t>授权书</w:t>
      </w:r>
      <w:r>
        <w:rPr>
          <w:rFonts w:hint="eastAsia" w:ascii="宋体" w:hAnsi="宋体" w:cs="宋体"/>
          <w:color w:val="auto"/>
          <w:szCs w:val="21"/>
        </w:rPr>
        <w:t>，格式自拟。</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3.业绩要求：响应单位具有202</w:t>
      </w:r>
      <w:r>
        <w:rPr>
          <w:rFonts w:hint="eastAsia" w:ascii="宋体" w:hAnsi="宋体" w:cs="宋体"/>
          <w:color w:val="auto"/>
          <w:szCs w:val="21"/>
          <w:lang w:val="en-US" w:eastAsia="zh-CN"/>
        </w:rPr>
        <w:t>0</w:t>
      </w:r>
      <w:r>
        <w:rPr>
          <w:rFonts w:hint="eastAsia" w:ascii="宋体" w:hAnsi="宋体" w:cs="宋体"/>
          <w:color w:val="auto"/>
          <w:szCs w:val="21"/>
        </w:rPr>
        <w:t>年1月1日以来类似项目业绩（提供业绩合同，以合同签订时间为准）不少于3份。</w:t>
      </w:r>
    </w:p>
    <w:p>
      <w:pPr>
        <w:widowControl/>
        <w:snapToGrid/>
        <w:spacing w:line="360" w:lineRule="auto"/>
        <w:ind w:firstLine="420" w:firstLineChars="200"/>
        <w:jc w:val="left"/>
        <w:rPr>
          <w:rFonts w:hint="eastAsia" w:ascii="宋体" w:hAnsi="宋体" w:cs="宋体"/>
          <w:color w:val="auto"/>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.本项目不接受联合体响应。</w:t>
      </w:r>
    </w:p>
    <w:p>
      <w:pPr>
        <w:spacing w:line="360" w:lineRule="auto"/>
        <w:jc w:val="left"/>
        <w:rPr>
          <w:rFonts w:ascii="宋体" w:hAnsi="宋体" w:cs="宋体"/>
          <w:b/>
          <w:bCs/>
          <w:color w:val="auto"/>
          <w:szCs w:val="21"/>
        </w:rPr>
      </w:pPr>
      <w:r>
        <w:rPr>
          <w:rFonts w:hint="eastAsia" w:ascii="宋体" w:hAnsi="宋体" w:cs="宋体"/>
          <w:b/>
          <w:bCs/>
          <w:color w:val="auto"/>
          <w:szCs w:val="21"/>
        </w:rPr>
        <w:t>五、获取询比文件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1.凡有意参加本次询比者，可登陆“郑州航空港兴港电力有限公司-招标采购专栏（http://www.xinggangpower.com/zcgs/）”下载询比文件。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2.询比文件为电子版，不收取任何费用。</w:t>
      </w:r>
    </w:p>
    <w:p>
      <w:pPr>
        <w:spacing w:line="360" w:lineRule="auto"/>
        <w:jc w:val="left"/>
        <w:rPr>
          <w:rFonts w:ascii="宋体" w:hAnsi="宋体" w:cs="宋体"/>
          <w:b/>
          <w:bCs/>
          <w:color w:val="auto"/>
          <w:szCs w:val="21"/>
        </w:rPr>
      </w:pPr>
      <w:r>
        <w:rPr>
          <w:rFonts w:hint="eastAsia" w:ascii="宋体" w:hAnsi="宋体" w:cs="宋体"/>
          <w:b/>
          <w:bCs/>
          <w:color w:val="auto"/>
          <w:szCs w:val="21"/>
        </w:rPr>
        <w:t>六、响应文件的递交</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1.响应文件递交的截止时间及地点：</w:t>
      </w:r>
      <w:r>
        <w:rPr>
          <w:rFonts w:hint="eastAsia" w:ascii="宋体" w:hAnsi="宋体" w:cs="宋体"/>
          <w:color w:val="auto"/>
          <w:szCs w:val="21"/>
          <w:highlight w:val="none"/>
        </w:rPr>
        <w:t>2023年</w:t>
      </w:r>
      <w:bookmarkStart w:id="126" w:name="_GoBack"/>
      <w:bookmarkEnd w:id="126"/>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rPr>
        <w:t>（北京时间），地点详见询比文件第二章报价须知。</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2.逾期送达的或者未送达指定地点的响应文件，采购人不予受理。</w:t>
      </w:r>
    </w:p>
    <w:p>
      <w:pPr>
        <w:spacing w:line="360" w:lineRule="auto"/>
        <w:rPr>
          <w:rFonts w:ascii="宋体" w:hAnsi="宋体" w:cs="宋体"/>
          <w:b/>
          <w:bCs/>
          <w:color w:val="auto"/>
          <w:szCs w:val="21"/>
        </w:rPr>
      </w:pPr>
      <w:r>
        <w:rPr>
          <w:rFonts w:hint="eastAsia" w:ascii="宋体" w:hAnsi="宋体" w:cs="宋体"/>
          <w:b/>
          <w:bCs/>
          <w:color w:val="auto"/>
          <w:szCs w:val="21"/>
        </w:rPr>
        <w:t>七、采购公告的媒介</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本次询比公告在郑州航空港兴港电力有限公司官方网站招标采购专栏</w:t>
      </w:r>
      <w:r>
        <w:rPr>
          <w:rFonts w:hint="eastAsia" w:ascii="宋体" w:hAnsi="宋体" w:cs="宋体"/>
          <w:color w:val="auto"/>
          <w:szCs w:val="21"/>
          <w:lang w:eastAsia="zh-CN"/>
        </w:rPr>
        <w:t>（http://www.xinggangpower.com/zcgs/）</w:t>
      </w:r>
      <w:r>
        <w:rPr>
          <w:rFonts w:hint="eastAsia" w:ascii="宋体" w:hAnsi="宋体" w:cs="宋体"/>
          <w:color w:val="auto"/>
          <w:szCs w:val="21"/>
        </w:rPr>
        <w:t>发布，采购人对任何转载信息及由此产生的后果均不承担任何责任。</w:t>
      </w:r>
    </w:p>
    <w:p>
      <w:pPr>
        <w:spacing w:line="360" w:lineRule="auto"/>
        <w:rPr>
          <w:rFonts w:ascii="宋体" w:hAnsi="宋体" w:cs="宋体"/>
          <w:b/>
          <w:bCs/>
          <w:color w:val="auto"/>
          <w:szCs w:val="21"/>
        </w:rPr>
      </w:pPr>
      <w:r>
        <w:rPr>
          <w:rFonts w:hint="eastAsia" w:ascii="宋体" w:hAnsi="宋体" w:cs="宋体"/>
          <w:b/>
          <w:bCs/>
          <w:color w:val="auto"/>
          <w:szCs w:val="21"/>
        </w:rPr>
        <w:t>八、联系方式</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采购单位：郑州航空港兴港电力有限公司</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联系人：黄先生</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电话：0371-68682573</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地址：郑州市航空港区新港大道与舜英路交叉口兴瑞大宗商品供应链产业园QB-2#东单元</w:t>
      </w:r>
    </w:p>
    <w:p>
      <w:pPr>
        <w:widowControl/>
        <w:spacing w:line="360" w:lineRule="auto"/>
        <w:ind w:firstLine="420" w:firstLineChars="200"/>
        <w:rPr>
          <w:rFonts w:ascii="宋体" w:hAnsi="宋体" w:cs="宋体"/>
          <w:color w:val="auto"/>
          <w:kern w:val="0"/>
          <w:szCs w:val="21"/>
        </w:rPr>
      </w:pPr>
    </w:p>
    <w:p>
      <w:pPr>
        <w:widowControl/>
        <w:spacing w:line="360" w:lineRule="auto"/>
        <w:rPr>
          <w:rFonts w:ascii="宋体" w:hAnsi="宋体" w:cs="宋体"/>
          <w:color w:val="auto"/>
          <w:kern w:val="0"/>
          <w:szCs w:val="21"/>
        </w:rPr>
      </w:pPr>
    </w:p>
    <w:p>
      <w:pPr>
        <w:ind w:firstLine="6510" w:firstLineChars="3100"/>
        <w:rPr>
          <w:rFonts w:ascii="宋体" w:hAnsi="宋体"/>
          <w:color w:val="auto"/>
        </w:rPr>
      </w:pPr>
      <w:r>
        <w:rPr>
          <w:rFonts w:hint="eastAsia" w:ascii="宋体" w:hAnsi="宋体"/>
          <w:color w:val="auto"/>
        </w:rPr>
        <w:br w:type="page"/>
      </w:r>
    </w:p>
    <w:p>
      <w:pPr>
        <w:pStyle w:val="2"/>
        <w:spacing w:before="120" w:after="120" w:line="400" w:lineRule="exact"/>
        <w:jc w:val="center"/>
        <w:rPr>
          <w:rFonts w:ascii="宋体" w:hAnsi="宋体"/>
          <w:bCs w:val="0"/>
          <w:color w:val="auto"/>
          <w:sz w:val="32"/>
          <w:szCs w:val="32"/>
        </w:rPr>
      </w:pPr>
      <w:bookmarkStart w:id="7" w:name="_Toc5597"/>
      <w:bookmarkStart w:id="8" w:name="_Toc4643"/>
      <w:bookmarkStart w:id="9" w:name="_Toc19065"/>
      <w:r>
        <w:rPr>
          <w:rFonts w:hint="eastAsia" w:ascii="宋体" w:hAnsi="宋体"/>
          <w:bCs w:val="0"/>
          <w:color w:val="auto"/>
          <w:sz w:val="32"/>
          <w:szCs w:val="32"/>
        </w:rPr>
        <w:t>第二章 响应单位须知</w:t>
      </w:r>
      <w:bookmarkEnd w:id="7"/>
      <w:bookmarkEnd w:id="8"/>
      <w:bookmarkEnd w:id="9"/>
    </w:p>
    <w:tbl>
      <w:tblPr>
        <w:tblStyle w:val="33"/>
        <w:tblpPr w:leftFromText="180" w:rightFromText="180" w:vertAnchor="text" w:horzAnchor="page" w:tblpX="1501" w:tblpY="871"/>
        <w:tblOverlap w:val="never"/>
        <w:tblW w:w="0" w:type="auto"/>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条  款  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郑州航空港兴港电力有限公司开闭所视频监控系统采购项目（二次）</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郑州航空港经济综合实验区</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19.44</w:t>
            </w:r>
            <w:r>
              <w:rPr>
                <w:rFonts w:hint="eastAsia" w:ascii="宋体" w:hAnsi="宋体" w:cs="宋体"/>
                <w:color w:val="auto"/>
                <w:szCs w:val="21"/>
              </w:rPr>
              <w:t>万元（含税）</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资金落实情况</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已落实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Cs w:val="21"/>
              </w:rPr>
            </w:pPr>
            <w:r>
              <w:rPr>
                <w:rFonts w:hint="eastAsia" w:ascii="宋体" w:hAnsi="宋体" w:cs="宋体"/>
                <w:color w:val="auto"/>
                <w:szCs w:val="21"/>
              </w:rPr>
              <w:t>详见询比公告</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交货期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合同签订后</w:t>
            </w:r>
            <w:r>
              <w:rPr>
                <w:rFonts w:hint="eastAsia" w:ascii="宋体" w:hAnsi="宋体" w:cs="宋体"/>
                <w:color w:val="auto"/>
                <w:szCs w:val="21"/>
                <w:lang w:val="en-US" w:eastAsia="zh-CN"/>
              </w:rPr>
              <w:t>20</w:t>
            </w:r>
            <w:r>
              <w:rPr>
                <w:rFonts w:hint="eastAsia" w:ascii="宋体" w:hAnsi="宋体" w:cs="宋体"/>
                <w:color w:val="auto"/>
                <w:szCs w:val="21"/>
              </w:rPr>
              <w:t>日历天内交付。</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交货地点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采购人指定地点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质量要求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产品必须符合最新的国家、行业规范、生产标准及采购文件中载明的相关技术要求。且厂家按规定提供全新的、完整无损的、加工生产的最终产品。</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质保期</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szCs w:val="21"/>
              </w:rPr>
              <w:t>自交货之日起不少于1年</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售后服务</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Cs w:val="21"/>
              </w:rPr>
            </w:pPr>
            <w:r>
              <w:rPr>
                <w:rFonts w:hint="eastAsia" w:ascii="宋体" w:hAnsi="宋体" w:cs="宋体"/>
                <w:color w:val="auto"/>
                <w:szCs w:val="21"/>
              </w:rPr>
              <w:t>提供1年免费质保、免费使用培训服务，终身有偿维修和技术支持。一旦产品出现故障，无论是保修期内还是保修期外，在48小时内予以响应并将故障排除。</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响应单位资格要求</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见询比公告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报价有效期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60日历天（从递交报价响应文件截止之日算起）</w:t>
            </w:r>
          </w:p>
        </w:tc>
      </w:tr>
      <w:tr>
        <w:tblPrEx>
          <w:tblCellMar>
            <w:top w:w="0" w:type="dxa"/>
            <w:left w:w="108" w:type="dxa"/>
            <w:bottom w:w="0" w:type="dxa"/>
            <w:right w:w="108" w:type="dxa"/>
          </w:tblCellMar>
        </w:tblPrEx>
        <w:trPr>
          <w:trHeight w:val="300"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正本壹份、副本壹份，响应文件不退回。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响应文件密封和标记要求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询价响应文件正本和副本应一起密封包装，标明采购项目名称、响应单位名称、询价响应文件递交时间，并加盖单位公章</w:t>
            </w:r>
          </w:p>
        </w:tc>
      </w:tr>
      <w:tr>
        <w:tblPrEx>
          <w:tblCellMar>
            <w:top w:w="0" w:type="dxa"/>
            <w:left w:w="108" w:type="dxa"/>
            <w:bottom w:w="0" w:type="dxa"/>
            <w:right w:w="108" w:type="dxa"/>
          </w:tblCellMar>
        </w:tblPrEx>
        <w:trPr>
          <w:trHeight w:val="651"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响应文件装订要求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正本与副本应分别装订成册，并编制目录，加盖骑缝章，不得采用活页夹等可随时拆换的方式。</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递交响应文件的截止时间和地点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rPr>
            </w:pPr>
            <w:r>
              <w:rPr>
                <w:rFonts w:hint="eastAsia" w:ascii="宋体" w:hAnsi="宋体" w:cs="宋体"/>
                <w:color w:val="auto"/>
                <w:szCs w:val="21"/>
              </w:rPr>
              <w:t>递交响应文件的截止时间：</w:t>
            </w:r>
            <w:r>
              <w:rPr>
                <w:rFonts w:hint="eastAsia" w:ascii="宋体" w:hAnsi="宋体" w:cs="宋体"/>
                <w:color w:val="auto"/>
                <w:szCs w:val="21"/>
                <w:highlight w:val="none"/>
              </w:rPr>
              <w:t>2023年1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rPr>
              <w:t>（北京时间）</w:t>
            </w:r>
          </w:p>
          <w:p>
            <w:pPr>
              <w:spacing w:line="360" w:lineRule="auto"/>
              <w:jc w:val="left"/>
              <w:rPr>
                <w:rFonts w:ascii="宋体" w:hAnsi="宋体" w:cs="宋体"/>
                <w:color w:val="auto"/>
                <w:szCs w:val="21"/>
              </w:rPr>
            </w:pPr>
            <w:r>
              <w:rPr>
                <w:rFonts w:hint="eastAsia" w:ascii="宋体" w:hAnsi="宋体" w:cs="宋体"/>
                <w:color w:val="auto"/>
                <w:szCs w:val="21"/>
              </w:rPr>
              <w:t>递交（可邮寄</w:t>
            </w:r>
            <w:r>
              <w:rPr>
                <w:rFonts w:hint="eastAsia" w:ascii="宋体" w:hAnsi="宋体" w:cs="宋体"/>
                <w:color w:val="auto"/>
                <w:szCs w:val="21"/>
                <w:lang w:val="en-US" w:eastAsia="zh-CN"/>
              </w:rPr>
              <w:t>,截止时间前未邮寄送达的不予接收</w:t>
            </w:r>
            <w:r>
              <w:rPr>
                <w:rFonts w:hint="eastAsia" w:ascii="宋体" w:hAnsi="宋体" w:cs="宋体"/>
                <w:color w:val="auto"/>
                <w:szCs w:val="21"/>
              </w:rPr>
              <w:t>）响应文件的地点：郑州市航空港区新港大道与舜英路交叉口兴瑞大宗商品供应链产业园QB-2#东单元506</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b/>
                <w:bCs/>
                <w:color w:val="auto"/>
                <w:szCs w:val="21"/>
              </w:rPr>
              <w:t>询比程序</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（1）响应单位将密封响应文件在规定的时间前递交或邮寄至</w:t>
            </w:r>
            <w:r>
              <w:rPr>
                <w:rFonts w:hint="eastAsia" w:ascii="宋体" w:hAnsi="宋体" w:cs="宋体"/>
                <w:color w:val="auto"/>
                <w:szCs w:val="21"/>
                <w:lang w:eastAsia="zh-CN"/>
              </w:rPr>
              <w:t>指定</w:t>
            </w:r>
            <w:r>
              <w:rPr>
                <w:rFonts w:hint="eastAsia" w:ascii="宋体" w:hAnsi="宋体" w:cs="宋体"/>
                <w:color w:val="auto"/>
                <w:szCs w:val="21"/>
              </w:rPr>
              <w:t>地点。</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（2）采购人于递交响应文件的截止时间准时拆封响应文件。</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（3）采购人组织评审小组对响应文件进行资格审查</w:t>
            </w:r>
            <w:r>
              <w:rPr>
                <w:rFonts w:hint="eastAsia" w:ascii="宋体" w:hAnsi="宋体" w:cs="宋体"/>
                <w:color w:val="auto"/>
                <w:szCs w:val="21"/>
                <w:lang w:eastAsia="zh-CN"/>
              </w:rPr>
              <w:t>，</w:t>
            </w:r>
            <w:r>
              <w:rPr>
                <w:rFonts w:hint="eastAsia" w:ascii="宋体" w:hAnsi="宋体" w:cs="宋体"/>
                <w:color w:val="auto"/>
                <w:szCs w:val="21"/>
                <w:lang w:val="en-US" w:eastAsia="zh-CN"/>
              </w:rPr>
              <w:t>审查完毕后</w:t>
            </w:r>
            <w:r>
              <w:rPr>
                <w:rFonts w:hint="eastAsia" w:ascii="宋体" w:hAnsi="宋体" w:cs="宋体"/>
                <w:color w:val="auto"/>
                <w:szCs w:val="21"/>
              </w:rPr>
              <w:t>对比</w:t>
            </w:r>
            <w:r>
              <w:rPr>
                <w:rFonts w:hint="eastAsia" w:ascii="宋体" w:hAnsi="宋体" w:cs="宋体"/>
                <w:color w:val="auto"/>
                <w:szCs w:val="21"/>
                <w:lang w:val="en-US" w:eastAsia="zh-CN"/>
              </w:rPr>
              <w:t>通过资格审查的</w:t>
            </w:r>
            <w:r>
              <w:rPr>
                <w:rFonts w:hint="eastAsia" w:ascii="宋体" w:hAnsi="宋体" w:cs="宋体"/>
                <w:color w:val="auto"/>
                <w:szCs w:val="21"/>
              </w:rPr>
              <w:t>各单位报价。</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（4）采购人从符合本次采购要求</w:t>
            </w:r>
            <w:r>
              <w:rPr>
                <w:rFonts w:hint="eastAsia" w:ascii="宋体" w:hAnsi="宋体" w:cs="宋体"/>
                <w:color w:val="auto"/>
                <w:szCs w:val="21"/>
                <w:lang w:val="en-US" w:eastAsia="zh-CN"/>
              </w:rPr>
              <w:t>并通过资格审查</w:t>
            </w:r>
            <w:r>
              <w:rPr>
                <w:rFonts w:hint="eastAsia" w:ascii="宋体" w:hAnsi="宋体" w:cs="宋体"/>
                <w:color w:val="auto"/>
                <w:szCs w:val="21"/>
              </w:rPr>
              <w:t>的响应文件中选取报价最低的单位作为成交单位，并将结果在询比公告发布网站进行公告。</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b/>
                <w:bCs/>
                <w:color w:val="auto"/>
                <w:szCs w:val="21"/>
              </w:rPr>
              <w:t>评审小组的组成</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评审小组由采购人相关部门代表共3人组成，评审过程由</w:t>
            </w:r>
            <w:r>
              <w:rPr>
                <w:rFonts w:hint="eastAsia" w:ascii="宋体" w:hAnsi="宋体" w:cs="宋体"/>
                <w:color w:val="auto"/>
                <w:szCs w:val="21"/>
                <w:lang w:val="en-US" w:eastAsia="zh-CN"/>
              </w:rPr>
              <w:t>采购人</w:t>
            </w:r>
            <w:r>
              <w:rPr>
                <w:rFonts w:hint="eastAsia" w:ascii="宋体" w:hAnsi="宋体" w:cs="宋体"/>
                <w:color w:val="auto"/>
                <w:szCs w:val="21"/>
              </w:rPr>
              <w:t>纪检</w:t>
            </w:r>
            <w:r>
              <w:rPr>
                <w:rFonts w:hint="eastAsia" w:ascii="宋体" w:hAnsi="宋体" w:cs="宋体"/>
                <w:color w:val="auto"/>
                <w:szCs w:val="21"/>
                <w:lang w:val="en-US" w:eastAsia="zh-CN"/>
              </w:rPr>
              <w:t>监督</w:t>
            </w:r>
            <w:r>
              <w:rPr>
                <w:rFonts w:hint="eastAsia" w:ascii="宋体" w:hAnsi="宋体" w:cs="宋体"/>
                <w:color w:val="auto"/>
                <w:szCs w:val="21"/>
              </w:rPr>
              <w:t>部门派1人全程监督。</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一次报价，总价和单价报价（含税）</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询比时间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同递交响应文件的截止时间</w:t>
            </w:r>
          </w:p>
        </w:tc>
      </w:tr>
      <w:tr>
        <w:tblPrEx>
          <w:tblCellMar>
            <w:top w:w="0" w:type="dxa"/>
            <w:left w:w="108" w:type="dxa"/>
            <w:bottom w:w="0" w:type="dxa"/>
            <w:right w:w="108" w:type="dxa"/>
          </w:tblCellMar>
        </w:tblPrEx>
        <w:trPr>
          <w:trHeight w:val="90"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Cs w:val="21"/>
              </w:rPr>
            </w:pPr>
            <w:r>
              <w:rPr>
                <w:rFonts w:hint="eastAsia" w:ascii="宋体" w:hAnsi="宋体" w:cs="宋体"/>
                <w:color w:val="auto"/>
                <w:szCs w:val="21"/>
              </w:rPr>
              <w:t>履约担保</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不要求</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Cs w:val="21"/>
              </w:rPr>
            </w:pPr>
            <w:r>
              <w:rPr>
                <w:rFonts w:hint="eastAsia" w:ascii="宋体" w:hAnsi="宋体" w:cs="宋体"/>
                <w:b/>
                <w:bCs/>
                <w:color w:val="auto"/>
                <w:szCs w:val="21"/>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本次采购最高限价为</w:t>
            </w:r>
            <w:r>
              <w:rPr>
                <w:rFonts w:hint="eastAsia" w:ascii="宋体" w:hAnsi="宋体" w:cs="宋体"/>
                <w:color w:val="auto"/>
                <w:szCs w:val="21"/>
                <w:lang w:val="en-US" w:eastAsia="zh-CN"/>
              </w:rPr>
              <w:t>19.44</w:t>
            </w:r>
            <w:r>
              <w:rPr>
                <w:rFonts w:hint="eastAsia" w:ascii="宋体" w:hAnsi="宋体" w:cs="宋体"/>
                <w:color w:val="auto"/>
                <w:szCs w:val="21"/>
              </w:rPr>
              <w:t>万元（含税）</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响应单位的总报价不得超过最高限价，否则，其响应文件将被否决。</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color w:val="auto"/>
                <w:szCs w:val="21"/>
              </w:rPr>
            </w:pPr>
            <w:bookmarkStart w:id="10" w:name="_Toc271556721"/>
            <w:bookmarkStart w:id="11" w:name="_Toc254788523"/>
            <w:bookmarkStart w:id="12" w:name="_Toc256519755"/>
            <w:bookmarkStart w:id="13" w:name="_Toc14765"/>
            <w:bookmarkStart w:id="14" w:name="_Toc179632806"/>
            <w:r>
              <w:rPr>
                <w:rFonts w:hint="eastAsia" w:ascii="宋体" w:hAnsi="宋体" w:cs="宋体"/>
                <w:b/>
                <w:bCs/>
                <w:color w:val="auto"/>
                <w:szCs w:val="21"/>
              </w:rPr>
              <w:t>付款条件</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合同签订后，乙方按照合同要求供货，货物到达现场并</w:t>
            </w:r>
            <w:r>
              <w:rPr>
                <w:rFonts w:hint="eastAsia"/>
                <w:color w:val="auto"/>
                <w:szCs w:val="21"/>
                <w:lang w:val="en-US" w:eastAsia="zh-CN"/>
              </w:rPr>
              <w:t>安装调试完成，</w:t>
            </w:r>
            <w:r>
              <w:rPr>
                <w:rFonts w:hint="eastAsia"/>
                <w:color w:val="auto"/>
                <w:szCs w:val="21"/>
              </w:rPr>
              <w:t>经甲方验收合格后，甲方自乙方提交付款申请后30日内支付当批货款的95%给乙方，质保金为货款的5%，在所有货物质保期满或乙方向甲方开具等额保函（保函期限应大于质保期）作为质保金后付清。</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color w:val="auto"/>
                <w:szCs w:val="21"/>
              </w:rPr>
            </w:pPr>
            <w:r>
              <w:rPr>
                <w:rFonts w:hint="eastAsia" w:ascii="宋体" w:hAnsi="宋体" w:cs="宋体"/>
                <w:b/>
                <w:bCs/>
                <w:color w:val="auto"/>
                <w:szCs w:val="21"/>
              </w:rPr>
              <w:t>其他要求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b/>
                <w:bCs/>
                <w:color w:val="auto"/>
              </w:rPr>
            </w:pPr>
            <w:r>
              <w:rPr>
                <w:rFonts w:hint="eastAsia"/>
                <w:b/>
                <w:bCs/>
                <w:color w:val="auto"/>
              </w:rPr>
              <w:t>1、乙方负责对甲方的人员进行专业培训，培训内容包括操作使用、故障判断方法、注意事项、保养维护等。（交货验收后一个月内进行）；</w:t>
            </w:r>
          </w:p>
          <w:p>
            <w:pPr>
              <w:spacing w:line="360" w:lineRule="auto"/>
              <w:rPr>
                <w:color w:val="auto"/>
              </w:rPr>
            </w:pPr>
            <w:r>
              <w:rPr>
                <w:rFonts w:hint="eastAsia"/>
                <w:b/>
                <w:bCs/>
                <w:color w:val="auto"/>
              </w:rPr>
              <w:t>2、所有交货产品需提供质量合格报告。</w:t>
            </w:r>
          </w:p>
        </w:tc>
      </w:tr>
    </w:tbl>
    <w:p>
      <w:pPr>
        <w:autoSpaceDE w:val="0"/>
        <w:autoSpaceDN w:val="0"/>
        <w:adjustRightInd w:val="0"/>
        <w:spacing w:line="360" w:lineRule="auto"/>
        <w:ind w:left="227"/>
        <w:jc w:val="center"/>
        <w:textAlignment w:val="baseline"/>
        <w:rPr>
          <w:rFonts w:ascii="宋体" w:hAnsi="宋体"/>
          <w:color w:val="auto"/>
          <w:sz w:val="32"/>
          <w:szCs w:val="32"/>
        </w:rPr>
      </w:pPr>
    </w:p>
    <w:p>
      <w:pPr>
        <w:autoSpaceDE w:val="0"/>
        <w:autoSpaceDN w:val="0"/>
        <w:adjustRightInd w:val="0"/>
        <w:spacing w:line="360" w:lineRule="auto"/>
        <w:ind w:left="227"/>
        <w:jc w:val="left"/>
        <w:textAlignment w:val="baseline"/>
        <w:rPr>
          <w:rFonts w:ascii="宋体" w:hAnsi="宋体"/>
          <w:b/>
          <w:bCs/>
          <w:color w:val="auto"/>
          <w:sz w:val="24"/>
        </w:rPr>
      </w:pPr>
      <w:r>
        <w:rPr>
          <w:rFonts w:hint="eastAsia" w:ascii="宋体" w:hAnsi="宋体"/>
          <w:b/>
          <w:bCs/>
          <w:color w:val="auto"/>
          <w:sz w:val="24"/>
        </w:rPr>
        <w:t>采购清单：</w:t>
      </w:r>
    </w:p>
    <w:tbl>
      <w:tblPr>
        <w:tblStyle w:val="3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25"/>
        <w:gridCol w:w="3792"/>
        <w:gridCol w:w="708"/>
        <w:gridCol w:w="70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62"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725" w:type="dxa"/>
            <w:vAlign w:val="center"/>
          </w:tcPr>
          <w:p>
            <w:pPr>
              <w:jc w:val="center"/>
              <w:rPr>
                <w:rFonts w:ascii="宋体" w:hAnsi="宋体" w:cs="宋体"/>
                <w:color w:val="auto"/>
                <w:szCs w:val="21"/>
              </w:rPr>
            </w:pPr>
            <w:r>
              <w:rPr>
                <w:rFonts w:hint="eastAsia" w:ascii="宋体" w:hAnsi="宋体" w:cs="宋体"/>
                <w:color w:val="auto"/>
                <w:szCs w:val="21"/>
              </w:rPr>
              <w:t>采购内容</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产品明细（包含且不限于）</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单位</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725" w:type="dxa"/>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含球机本体及支架</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套</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30</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725" w:type="dxa"/>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含枪机本体及支架</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套</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36</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725" w:type="dxa"/>
            <w:vAlign w:val="center"/>
          </w:tcPr>
          <w:p>
            <w:pPr>
              <w:jc w:val="center"/>
              <w:rPr>
                <w:rFonts w:ascii="宋体" w:hAnsi="宋体" w:cs="宋体"/>
                <w:color w:val="auto"/>
                <w:szCs w:val="21"/>
              </w:rPr>
            </w:pPr>
            <w:r>
              <w:rPr>
                <w:rFonts w:hint="eastAsia" w:ascii="宋体" w:hAnsi="宋体" w:cs="宋体"/>
                <w:color w:val="auto"/>
                <w:szCs w:val="21"/>
                <w:lang w:eastAsia="zh-CN"/>
              </w:rPr>
              <w:t>安装摄像机所需的各种配件</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交换机</w:t>
            </w:r>
            <w:r>
              <w:rPr>
                <w:rFonts w:hint="eastAsia" w:ascii="宋体" w:hAnsi="宋体" w:cs="宋体"/>
                <w:color w:val="auto"/>
                <w:szCs w:val="21"/>
                <w:lang w:eastAsia="zh-CN"/>
              </w:rPr>
              <w:t>、</w:t>
            </w:r>
            <w:r>
              <w:rPr>
                <w:rFonts w:hint="eastAsia" w:ascii="宋体" w:hAnsi="宋体" w:cs="宋体"/>
                <w:color w:val="auto"/>
                <w:szCs w:val="21"/>
              </w:rPr>
              <w:t>网线、电源线、漏保、插座、网络跳线、光纤跳线、水晶头、线管、膨胀螺丝、自攻丝、胶带、扎带、管卡、接头、软管</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项</w:t>
            </w:r>
          </w:p>
        </w:tc>
        <w:tc>
          <w:tcPr>
            <w:tcW w:w="708"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满足现场使用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725" w:type="dxa"/>
            <w:vAlign w:val="center"/>
          </w:tcPr>
          <w:p>
            <w:pPr>
              <w:jc w:val="center"/>
              <w:rPr>
                <w:rFonts w:ascii="宋体" w:hAnsi="宋体" w:cs="宋体"/>
                <w:color w:val="auto"/>
                <w:szCs w:val="21"/>
              </w:rPr>
            </w:pPr>
            <w:r>
              <w:rPr>
                <w:rFonts w:hint="eastAsia"/>
                <w:color w:val="auto"/>
                <w:lang w:eastAsia="zh-CN"/>
              </w:rPr>
              <w:t>调测服务</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前端设备安装+设备联调</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项</w:t>
            </w:r>
          </w:p>
        </w:tc>
        <w:tc>
          <w:tcPr>
            <w:tcW w:w="708"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满足现场使用</w:t>
            </w:r>
          </w:p>
        </w:tc>
      </w:tr>
    </w:tbl>
    <w:p>
      <w:pPr>
        <w:jc w:val="left"/>
        <w:rPr>
          <w:rFonts w:ascii="宋体" w:hAnsi="宋体" w:cs="宋体"/>
          <w:color w:val="auto"/>
          <w:szCs w:val="21"/>
        </w:rPr>
      </w:pPr>
    </w:p>
    <w:p>
      <w:pPr>
        <w:widowControl/>
        <w:spacing w:line="360" w:lineRule="auto"/>
        <w:ind w:firstLine="210" w:firstLineChars="100"/>
        <w:rPr>
          <w:rFonts w:hint="eastAsia" w:eastAsia="宋体"/>
          <w:color w:val="auto"/>
          <w:lang w:val="en-US" w:eastAsia="zh-CN"/>
        </w:rPr>
      </w:pPr>
      <w:r>
        <w:rPr>
          <w:rFonts w:hint="eastAsia" w:ascii="宋体" w:hAnsi="宋体" w:cs="宋体"/>
          <w:color w:val="auto"/>
          <w:szCs w:val="21"/>
        </w:rPr>
        <w:t>注：产品是市面普及的最新产品且满足或不低于本次采购《技术参数表》内技术要求的相关产</w:t>
      </w:r>
      <w:r>
        <w:rPr>
          <w:rFonts w:hint="eastAsia" w:ascii="宋体" w:hAnsi="宋体" w:cs="宋体"/>
          <w:color w:val="auto"/>
          <w:szCs w:val="21"/>
          <w:highlight w:val="none"/>
        </w:rPr>
        <w:t>品</w:t>
      </w:r>
      <w:r>
        <w:rPr>
          <w:rFonts w:hint="eastAsia" w:ascii="宋体" w:hAnsi="宋体" w:cs="宋体"/>
          <w:color w:val="auto"/>
          <w:szCs w:val="21"/>
          <w:highlight w:val="none"/>
          <w:lang w:eastAsia="zh-CN"/>
        </w:rPr>
        <w:t>。</w:t>
      </w:r>
    </w:p>
    <w:p>
      <w:pPr>
        <w:autoSpaceDE w:val="0"/>
        <w:autoSpaceDN w:val="0"/>
        <w:adjustRightInd w:val="0"/>
        <w:spacing w:line="360" w:lineRule="auto"/>
        <w:ind w:left="227"/>
        <w:jc w:val="left"/>
        <w:textAlignment w:val="baseline"/>
        <w:rPr>
          <w:rFonts w:ascii="宋体" w:hAnsi="宋体"/>
          <w:b/>
          <w:bCs/>
          <w:color w:val="auto"/>
          <w:sz w:val="24"/>
        </w:rPr>
      </w:pPr>
      <w:r>
        <w:rPr>
          <w:rFonts w:hint="eastAsia" w:ascii="宋体" w:hAnsi="宋体"/>
          <w:b/>
          <w:bCs/>
          <w:color w:val="auto"/>
          <w:sz w:val="24"/>
        </w:rPr>
        <w:t>技术参数及要求：</w:t>
      </w:r>
    </w:p>
    <w:p>
      <w:pPr>
        <w:tabs>
          <w:tab w:val="left" w:pos="2256"/>
        </w:tabs>
        <w:topLinePunct/>
        <w:spacing w:line="360" w:lineRule="auto"/>
        <w:ind w:firstLine="420" w:firstLineChars="200"/>
        <w:rPr>
          <w:rFonts w:ascii="宋体" w:hAnsi="宋体" w:cs="宋体"/>
          <w:color w:val="auto"/>
          <w:szCs w:val="21"/>
        </w:rPr>
      </w:pPr>
      <w:r>
        <w:rPr>
          <w:rFonts w:hint="eastAsia" w:ascii="宋体" w:hAnsi="宋体" w:cs="宋体"/>
          <w:color w:val="auto"/>
          <w:szCs w:val="21"/>
        </w:rPr>
        <w:t>产品必须符合最新的国家、行业规范、生产标准及询比文件中载明的相关技术要求。且厂家按规定提供全新的、完整无损的、加工生产的最终产品</w:t>
      </w:r>
      <w:r>
        <w:rPr>
          <w:rFonts w:hint="eastAsia" w:ascii="宋体" w:hAnsi="宋体" w:cs="宋体"/>
          <w:color w:val="auto"/>
          <w:szCs w:val="21"/>
          <w:highlight w:val="none"/>
        </w:rPr>
        <w:t>，同时提供检定合格报告。</w:t>
      </w:r>
    </w:p>
    <w:p>
      <w:pPr>
        <w:rPr>
          <w:rFonts w:ascii="宋体" w:hAnsi="宋体" w:cs="宋体"/>
          <w:b/>
          <w:bCs/>
          <w:color w:val="auto"/>
          <w:sz w:val="24"/>
        </w:rPr>
      </w:pPr>
    </w:p>
    <w:p>
      <w:pPr>
        <w:rPr>
          <w:rFonts w:ascii="宋体" w:hAnsi="宋体" w:cs="宋体"/>
          <w:b/>
          <w:bCs/>
          <w:color w:val="auto"/>
          <w:sz w:val="24"/>
        </w:rPr>
      </w:pPr>
      <w:r>
        <w:rPr>
          <w:rFonts w:hint="eastAsia" w:ascii="宋体" w:hAnsi="宋体" w:cs="宋体"/>
          <w:b/>
          <w:bCs/>
          <w:color w:val="auto"/>
          <w:sz w:val="24"/>
        </w:rPr>
        <w:t>（一）技术参数表</w:t>
      </w:r>
    </w:p>
    <w:p>
      <w:pPr>
        <w:pStyle w:val="50"/>
        <w:rPr>
          <w:color w:val="auto"/>
        </w:rPr>
      </w:pPr>
    </w:p>
    <w:tbl>
      <w:tblPr>
        <w:tblStyle w:val="33"/>
        <w:tblW w:w="5126" w:type="pct"/>
        <w:tblInd w:w="0" w:type="dxa"/>
        <w:tblLayout w:type="fixed"/>
        <w:tblCellMar>
          <w:top w:w="0" w:type="dxa"/>
          <w:left w:w="108" w:type="dxa"/>
          <w:bottom w:w="0" w:type="dxa"/>
          <w:right w:w="108" w:type="dxa"/>
        </w:tblCellMar>
      </w:tblPr>
      <w:tblGrid>
        <w:gridCol w:w="536"/>
        <w:gridCol w:w="1872"/>
        <w:gridCol w:w="2554"/>
        <w:gridCol w:w="4692"/>
      </w:tblGrid>
      <w:tr>
        <w:tblPrEx>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序号</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要求名称</w:t>
            </w:r>
          </w:p>
        </w:tc>
        <w:tc>
          <w:tcPr>
            <w:tcW w:w="3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技术参数要求</w:t>
            </w:r>
          </w:p>
        </w:tc>
      </w:tr>
      <w:tr>
        <w:tblPrEx>
          <w:tblCellMar>
            <w:top w:w="0" w:type="dxa"/>
            <w:left w:w="108" w:type="dxa"/>
            <w:bottom w:w="0" w:type="dxa"/>
            <w:right w:w="108" w:type="dxa"/>
          </w:tblCellMar>
        </w:tblPrEx>
        <w:trPr>
          <w:trHeight w:val="27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1</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2560*1440</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 xml:space="preserve">彩色：0.005lux@F1.6 </w:t>
            </w:r>
          </w:p>
          <w:p>
            <w:pPr>
              <w:jc w:val="center"/>
              <w:rPr>
                <w:rFonts w:ascii="宋体" w:hAnsi="宋体" w:cs="宋体"/>
                <w:color w:val="auto"/>
                <w:szCs w:val="21"/>
              </w:rPr>
            </w:pPr>
            <w:r>
              <w:rPr>
                <w:rFonts w:hint="eastAsia" w:ascii="宋体" w:hAnsi="宋体" w:cs="宋体"/>
                <w:color w:val="auto"/>
                <w:szCs w:val="21"/>
              </w:rPr>
              <w:t>黑白：0.0005lux@F1.60Lux（红外灯）</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50m（红外）</w:t>
            </w:r>
          </w:p>
        </w:tc>
      </w:tr>
      <w:tr>
        <w:tblPrEx>
          <w:tblCellMar>
            <w:top w:w="0" w:type="dxa"/>
            <w:left w:w="108" w:type="dxa"/>
            <w:bottom w:w="0" w:type="dxa"/>
            <w:right w:w="108" w:type="dxa"/>
          </w:tblCellMar>
        </w:tblPrEx>
        <w:trPr>
          <w:trHeight w:val="81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红外</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5mm~115mm</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光学变倍</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23倍</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支持绊线入侵，支持区域入侵，支持穿越围栏，支持徘徊检测，支持物品遗留，支持物品搬移，支持快速移动，支持停车检测，支持人员聚集，支持人车分类报警，支持联动跟踪；人脸检测：支持人脸检测；支持人脸轨迹框；支持抓拍；支持人脸增强；支持人脸抠图区域可设：人脸，单寸照；支持实时抓拍，质量优先二种抓拍策略。</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防抖功能</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电子防抖</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透雾功能</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电子透雾</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音频输入</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IN；裸线）</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音频输出</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OUT；裸线）</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语音对讲</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报警输入</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2路，开关量输入（0~5V DC）</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报警输出</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球机尺寸</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4寸</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60-120定制球机专用支架 材质：铝合金</w:t>
            </w:r>
          </w:p>
        </w:tc>
      </w:tr>
      <w:tr>
        <w:tblPrEx>
          <w:tblCellMar>
            <w:top w:w="0" w:type="dxa"/>
            <w:left w:w="108" w:type="dxa"/>
            <w:bottom w:w="0" w:type="dxa"/>
            <w:right w:w="108" w:type="dxa"/>
          </w:tblCellMar>
        </w:tblPrEx>
        <w:trPr>
          <w:trHeight w:val="27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2</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2688×1520</w:t>
            </w:r>
          </w:p>
        </w:tc>
      </w:tr>
      <w:tr>
        <w:tblPrEx>
          <w:tblCellMar>
            <w:top w:w="0" w:type="dxa"/>
            <w:left w:w="108" w:type="dxa"/>
            <w:bottom w:w="0" w:type="dxa"/>
            <w:right w:w="108" w:type="dxa"/>
          </w:tblCellMar>
        </w:tblPrEx>
        <w:trPr>
          <w:trHeight w:val="30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0.002Lux（彩色模式）；0.0002Lux（黑白模式）；0Lux（补光灯开启）</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60m（红外视频监控距离）30m（暖光视频监控距离）2m（人脸检测距离）</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2颗（红外灯）;2颗（暖光灯）</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定焦3.6mm</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镜头光圈</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F1.6</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绊线入侵；区域入侵；快速移动（三项均支持人车分类及精准检测）；徘徊检测；人员聚集；停车检测；SMD 3.0：第三代智能动检技术；支持人脸抓拍；支持人脸检测；支持跟踪；支持优选；支持抓拍；支持上报最优的人脸抓图；支持人脸增强，支持人脸曝光；；支持实时抓拍、优选抓拍、质量优先三种抓拍策略；支持人脸角度过滤功能；支持优选时长可设。</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报警事件</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无SD卡；SD卡空间不足；SD卡出错；网络断开；IP冲突；非法访问；动态检测；SMD；视频遮挡；绊线入侵；区域入侵；快速移动；物品遗留；物品搬移；徘徊检测；人员聚集；停车检测；场景变更；音频异常侦测；电压检测；安全异常；人脸检测；</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预览最大用户数</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20个（总带宽:80M）</w:t>
            </w:r>
          </w:p>
        </w:tc>
      </w:tr>
      <w:tr>
        <w:tblPrEx>
          <w:tblCellMar>
            <w:top w:w="0" w:type="dxa"/>
            <w:left w:w="108" w:type="dxa"/>
            <w:bottom w:w="0" w:type="dxa"/>
            <w:right w:w="108" w:type="dxa"/>
          </w:tblCellMar>
        </w:tblPrEx>
        <w:trPr>
          <w:trHeight w:val="312"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内置MIC</w:t>
            </w:r>
          </w:p>
        </w:tc>
        <w:tc>
          <w:tcPr>
            <w:tcW w:w="2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312"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c>
          <w:tcPr>
            <w:tcW w:w="2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内置扬声器</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热度图</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最大Micro SD卡</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512GB</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枪式摄像机专用支架 材质：铝合金</w:t>
            </w:r>
          </w:p>
        </w:tc>
      </w:tr>
      <w:tr>
        <w:tblPrEx>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安装摄像机所需的各种配件</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包含但不限于</w:t>
            </w:r>
            <w:r>
              <w:rPr>
                <w:rFonts w:hint="eastAsia" w:ascii="宋体" w:hAnsi="宋体" w:cs="宋体"/>
                <w:color w:val="auto"/>
                <w:szCs w:val="21"/>
              </w:rPr>
              <w:t>交换机</w:t>
            </w:r>
            <w:r>
              <w:rPr>
                <w:rFonts w:hint="eastAsia" w:ascii="宋体" w:hAnsi="宋体" w:cs="宋体"/>
                <w:color w:val="auto"/>
                <w:szCs w:val="21"/>
                <w:lang w:eastAsia="zh-CN"/>
              </w:rPr>
              <w:t>、</w:t>
            </w:r>
            <w:r>
              <w:rPr>
                <w:rFonts w:hint="eastAsia" w:ascii="宋体" w:hAnsi="宋体" w:cs="宋体"/>
                <w:color w:val="auto"/>
                <w:szCs w:val="21"/>
              </w:rPr>
              <w:t>网线、电源线、漏保、插座、网络跳线、光纤跳线、水晶头、线管、膨胀螺丝、自攻丝、胶带、扎带、管卡、接头、软管</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符合对应产品的国家标准</w:t>
            </w:r>
          </w:p>
        </w:tc>
      </w:tr>
    </w:tbl>
    <w:p>
      <w:pPr>
        <w:pStyle w:val="32"/>
        <w:ind w:firstLine="0" w:firstLineChars="0"/>
        <w:rPr>
          <w:color w:val="auto"/>
        </w:rPr>
      </w:pPr>
    </w:p>
    <w:p>
      <w:pPr>
        <w:ind w:left="239" w:leftChars="114"/>
        <w:jc w:val="left"/>
        <w:rPr>
          <w:rFonts w:ascii="宋体" w:hAnsi="宋体" w:cs="宋体"/>
          <w:b/>
          <w:bCs/>
          <w:color w:val="auto"/>
          <w:sz w:val="24"/>
        </w:rPr>
      </w:pPr>
      <w:r>
        <w:rPr>
          <w:rFonts w:hint="eastAsia" w:ascii="宋体" w:hAnsi="宋体" w:cs="宋体"/>
          <w:b/>
          <w:bCs/>
          <w:color w:val="auto"/>
          <w:sz w:val="24"/>
        </w:rPr>
        <w:t>注：</w:t>
      </w:r>
      <w:r>
        <w:rPr>
          <w:rFonts w:hint="eastAsia" w:ascii="宋体" w:hAnsi="宋体" w:cs="宋体"/>
          <w:color w:val="auto"/>
          <w:szCs w:val="21"/>
        </w:rPr>
        <w:t>产品必须满足现场使用要求且主要技术参数满足技术参数表格中各项指标的要求，响应文件中需要对各个仪器进行详细的描述，包含图片，功能特点，技术参数等说明文件。</w:t>
      </w:r>
    </w:p>
    <w:p>
      <w:pPr>
        <w:rPr>
          <w:rFonts w:ascii="宋体" w:hAnsi="宋体"/>
          <w:color w:val="auto"/>
          <w:sz w:val="32"/>
          <w:szCs w:val="32"/>
        </w:rPr>
      </w:pPr>
      <w:bookmarkStart w:id="15" w:name="_Toc20803"/>
      <w:bookmarkStart w:id="16" w:name="_Toc7697"/>
      <w:bookmarkStart w:id="17" w:name="_Toc8260"/>
      <w:r>
        <w:rPr>
          <w:rFonts w:hint="eastAsia" w:ascii="宋体" w:hAnsi="宋体"/>
          <w:color w:val="auto"/>
          <w:sz w:val="32"/>
          <w:szCs w:val="32"/>
        </w:rPr>
        <w:br w:type="page"/>
      </w:r>
    </w:p>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 xml:space="preserve">第三章 </w:t>
      </w:r>
      <w:bookmarkEnd w:id="15"/>
      <w:bookmarkEnd w:id="16"/>
      <w:r>
        <w:rPr>
          <w:rFonts w:hint="eastAsia" w:ascii="宋体" w:hAnsi="宋体"/>
          <w:bCs w:val="0"/>
          <w:color w:val="auto"/>
          <w:sz w:val="32"/>
          <w:szCs w:val="32"/>
        </w:rPr>
        <w:t>询比方式</w:t>
      </w:r>
      <w:bookmarkEnd w:id="17"/>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本次询比采用最低价法，具体原则如下：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1.递交响应文件的截止时间后，评审小组在监督部门的监督下，检查所有已收到的响应文件的密封性并拆封。拆封后对各单位响应文件进行资格审查</w:t>
      </w:r>
      <w:r>
        <w:rPr>
          <w:rFonts w:hint="eastAsia" w:ascii="宋体" w:hAnsi="宋体" w:cs="宋体"/>
          <w:color w:val="auto"/>
          <w:szCs w:val="21"/>
          <w:lang w:eastAsia="zh-CN"/>
        </w:rPr>
        <w:t>，</w:t>
      </w:r>
      <w:r>
        <w:rPr>
          <w:rFonts w:hint="eastAsia" w:ascii="宋体" w:hAnsi="宋体" w:cs="宋体"/>
          <w:color w:val="auto"/>
          <w:szCs w:val="21"/>
          <w:lang w:val="en-US" w:eastAsia="zh-CN"/>
        </w:rPr>
        <w:t>审查完毕后</w:t>
      </w:r>
      <w:r>
        <w:rPr>
          <w:rFonts w:hint="eastAsia" w:ascii="宋体" w:hAnsi="宋体" w:cs="宋体"/>
          <w:color w:val="auto"/>
          <w:szCs w:val="21"/>
        </w:rPr>
        <w:t>对比</w:t>
      </w:r>
      <w:r>
        <w:rPr>
          <w:rFonts w:hint="eastAsia" w:ascii="宋体" w:hAnsi="宋体" w:cs="宋体"/>
          <w:color w:val="auto"/>
          <w:szCs w:val="21"/>
          <w:lang w:val="en-US" w:eastAsia="zh-CN"/>
        </w:rPr>
        <w:t>通过资格审查的</w:t>
      </w:r>
      <w:r>
        <w:rPr>
          <w:rFonts w:hint="eastAsia" w:ascii="宋体" w:hAnsi="宋体" w:cs="宋体"/>
          <w:color w:val="auto"/>
          <w:szCs w:val="21"/>
        </w:rPr>
        <w:t>各单位报价，并从符合本次采购要求的响应文件中选取报价最低的单位作为成交单位。（因本次询比为一次报价，请各响应单位结合自身情况和市场实际谨慎报价，响应单位报价明显低于成本或偏离实际的，采购人保留要求响应单位对报价进行澄清的权利）</w:t>
      </w:r>
    </w:p>
    <w:p>
      <w:pPr>
        <w:spacing w:line="360" w:lineRule="auto"/>
        <w:ind w:firstLine="420" w:firstLineChars="200"/>
        <w:rPr>
          <w:rFonts w:ascii="宋体" w:hAnsi="宋体" w:cs="宋体"/>
          <w:color w:val="auto"/>
          <w:szCs w:val="21"/>
        </w:rPr>
      </w:pPr>
      <w:r>
        <w:rPr>
          <w:rFonts w:hint="eastAsia" w:ascii="宋体" w:hAnsi="宋体" w:cs="宋体"/>
          <w:color w:val="auto"/>
          <w:szCs w:val="21"/>
        </w:rPr>
        <w:t>2.确定成交单位后，采购人发布成交公告，并与成交单位签订合同。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3.成交单位应满足资格要求以及不高于最高限价要求。否则，采购人有权取消成交单位资格，并按相关规定按照报价从低到高的顺序选取后续单位作为成交单位或者重新开展询比。</w:t>
      </w:r>
    </w:p>
    <w:p>
      <w:pPr>
        <w:spacing w:line="360" w:lineRule="auto"/>
        <w:ind w:firstLine="420" w:firstLineChars="200"/>
        <w:rPr>
          <w:rFonts w:ascii="宋体" w:hAnsi="宋体" w:cs="宋体"/>
          <w:color w:val="auto"/>
          <w:sz w:val="24"/>
        </w:rPr>
      </w:pPr>
      <w:r>
        <w:rPr>
          <w:rFonts w:hint="eastAsia" w:ascii="宋体" w:hAnsi="宋体" w:cs="宋体"/>
          <w:color w:val="auto"/>
          <w:szCs w:val="21"/>
        </w:rPr>
        <w:t>注：若文件递交时间截止参与响应的询比单位少于三家，不得开始本次询比。</w:t>
      </w:r>
    </w:p>
    <w:p>
      <w:pPr>
        <w:numPr>
          <w:ilvl w:val="0"/>
          <w:numId w:val="1"/>
        </w:numPr>
        <w:spacing w:line="360" w:lineRule="auto"/>
        <w:jc w:val="center"/>
        <w:outlineLvl w:val="0"/>
        <w:rPr>
          <w:rFonts w:ascii="宋体" w:hAnsi="宋体"/>
          <w:b/>
          <w:color w:val="auto"/>
          <w:kern w:val="44"/>
          <w:sz w:val="32"/>
          <w:szCs w:val="32"/>
        </w:rPr>
      </w:pPr>
      <w:r>
        <w:rPr>
          <w:rFonts w:hint="eastAsia" w:ascii="宋体" w:hAnsi="宋体" w:cs="宋体"/>
          <w:color w:val="auto"/>
          <w:sz w:val="24"/>
        </w:rPr>
        <w:br w:type="page"/>
      </w:r>
      <w:bookmarkStart w:id="18" w:name="_Toc10110"/>
      <w:bookmarkStart w:id="19" w:name="_Toc30418"/>
      <w:bookmarkStart w:id="20" w:name="_Toc32143"/>
      <w:r>
        <w:rPr>
          <w:rFonts w:hint="eastAsia" w:ascii="宋体" w:hAnsi="宋体"/>
          <w:b/>
          <w:color w:val="auto"/>
          <w:kern w:val="44"/>
          <w:sz w:val="32"/>
          <w:szCs w:val="32"/>
        </w:rPr>
        <w:t>合同</w:t>
      </w:r>
      <w:bookmarkEnd w:id="10"/>
      <w:bookmarkEnd w:id="11"/>
      <w:bookmarkEnd w:id="12"/>
      <w:bookmarkEnd w:id="18"/>
      <w:r>
        <w:rPr>
          <w:rFonts w:hint="eastAsia" w:ascii="宋体" w:hAnsi="宋体"/>
          <w:b/>
          <w:color w:val="auto"/>
          <w:kern w:val="44"/>
          <w:sz w:val="32"/>
          <w:szCs w:val="32"/>
        </w:rPr>
        <w:t>条款及格式</w:t>
      </w:r>
      <w:bookmarkEnd w:id="13"/>
      <w:bookmarkEnd w:id="19"/>
      <w:bookmarkEnd w:id="20"/>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rPr>
        <w:t>郑州航空港兴港电力有限公司</w:t>
      </w:r>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rPr>
        <w:t>开闭所视频监控系统采购项目</w:t>
      </w:r>
    </w:p>
    <w:p>
      <w:pPr>
        <w:adjustRightInd w:val="0"/>
        <w:snapToGrid w:val="0"/>
        <w:spacing w:line="360" w:lineRule="auto"/>
        <w:jc w:val="center"/>
        <w:rPr>
          <w:rFonts w:ascii="宋体" w:hAnsi="宋体"/>
          <w:b/>
          <w:color w:val="auto"/>
          <w:sz w:val="36"/>
        </w:rPr>
      </w:pPr>
    </w:p>
    <w:p>
      <w:pPr>
        <w:adjustRightInd w:val="0"/>
        <w:snapToGrid w:val="0"/>
        <w:spacing w:line="360" w:lineRule="auto"/>
        <w:jc w:val="center"/>
        <w:outlineLvl w:val="0"/>
        <w:rPr>
          <w:rFonts w:ascii="宋体" w:hAnsi="宋体"/>
          <w:b/>
          <w:color w:val="auto"/>
          <w:sz w:val="36"/>
        </w:rPr>
      </w:pPr>
      <w:bookmarkStart w:id="21" w:name="_Toc85466121"/>
      <w:bookmarkStart w:id="22" w:name="_Toc15276"/>
      <w:r>
        <w:rPr>
          <w:rFonts w:hint="eastAsia" w:ascii="宋体" w:hAnsi="宋体"/>
          <w:b/>
          <w:color w:val="auto"/>
          <w:sz w:val="36"/>
        </w:rPr>
        <w:t>合同编号：</w:t>
      </w:r>
      <w:bookmarkEnd w:id="21"/>
      <w:bookmarkEnd w:id="22"/>
    </w:p>
    <w:p>
      <w:pPr>
        <w:spacing w:line="360" w:lineRule="auto"/>
        <w:ind w:firstLine="1974" w:firstLineChars="940"/>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31"/>
        <w:rPr>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after="156" w:afterLines="50" w:line="360" w:lineRule="auto"/>
        <w:ind w:firstLine="1120" w:firstLineChars="350"/>
        <w:outlineLvl w:val="0"/>
        <w:rPr>
          <w:rFonts w:ascii="宋体" w:hAnsi="宋体"/>
          <w:color w:val="auto"/>
          <w:sz w:val="32"/>
        </w:rPr>
      </w:pPr>
      <w:r>
        <w:rPr>
          <w:rFonts w:hint="eastAsia" w:ascii="宋体" w:hAnsi="宋体"/>
          <w:color w:val="auto"/>
          <w:sz w:val="32"/>
        </w:rPr>
        <w:t xml:space="preserve">甲    方： </w:t>
      </w:r>
      <w:r>
        <w:rPr>
          <w:rFonts w:hint="eastAsia" w:ascii="宋体" w:hAnsi="宋体"/>
          <w:b/>
          <w:color w:val="auto"/>
          <w:sz w:val="28"/>
        </w:rPr>
        <w:t>郑州航空港兴港电力有限公司</w:t>
      </w:r>
      <w:r>
        <w:rPr>
          <w:rFonts w:hint="eastAsia" w:ascii="宋体" w:hAnsi="宋体"/>
          <w:color w:val="auto"/>
          <w:sz w:val="32"/>
        </w:rPr>
        <w:t xml:space="preserve"> </w:t>
      </w:r>
    </w:p>
    <w:p>
      <w:pPr>
        <w:spacing w:after="156" w:afterLines="50" w:line="360" w:lineRule="auto"/>
        <w:ind w:firstLine="1120" w:firstLineChars="350"/>
        <w:outlineLvl w:val="0"/>
        <w:rPr>
          <w:rFonts w:ascii="宋体" w:hAnsi="宋体"/>
          <w:b/>
          <w:color w:val="auto"/>
          <w:sz w:val="28"/>
        </w:rPr>
      </w:pPr>
      <w:bookmarkStart w:id="23" w:name="_Toc4042"/>
      <w:bookmarkStart w:id="24" w:name="_Toc85466123"/>
      <w:r>
        <w:rPr>
          <w:rFonts w:hint="eastAsia" w:ascii="宋体" w:hAnsi="宋体"/>
          <w:color w:val="auto"/>
          <w:sz w:val="32"/>
        </w:rPr>
        <w:t>乙    方：</w:t>
      </w:r>
      <w:bookmarkEnd w:id="23"/>
      <w:bookmarkEnd w:id="24"/>
      <w:r>
        <w:rPr>
          <w:rFonts w:hint="eastAsia" w:ascii="宋体" w:hAnsi="宋体"/>
          <w:b/>
          <w:color w:val="auto"/>
          <w:sz w:val="28"/>
        </w:rPr>
        <w:t xml:space="preserve"> </w:t>
      </w:r>
    </w:p>
    <w:p>
      <w:pPr>
        <w:tabs>
          <w:tab w:val="left" w:pos="8280"/>
        </w:tabs>
        <w:spacing w:after="156" w:afterLines="50" w:line="360" w:lineRule="auto"/>
        <w:ind w:firstLine="1120" w:firstLineChars="350"/>
        <w:outlineLvl w:val="0"/>
        <w:rPr>
          <w:rFonts w:ascii="宋体" w:hAnsi="宋体"/>
          <w:color w:val="auto"/>
          <w:sz w:val="32"/>
        </w:rPr>
      </w:pPr>
      <w:bookmarkStart w:id="25" w:name="_Toc1350"/>
      <w:bookmarkStart w:id="26" w:name="_Toc85466124"/>
      <w:r>
        <w:rPr>
          <w:rFonts w:hint="eastAsia" w:ascii="宋体" w:hAnsi="宋体"/>
          <w:color w:val="auto"/>
          <w:sz w:val="32"/>
        </w:rPr>
        <w:t>签订日期：：      年     月     日</w:t>
      </w:r>
      <w:bookmarkEnd w:id="25"/>
      <w:bookmarkEnd w:id="26"/>
    </w:p>
    <w:p>
      <w:pPr>
        <w:spacing w:line="360" w:lineRule="auto"/>
        <w:rPr>
          <w:rFonts w:ascii="宋体" w:hAnsi="宋体"/>
          <w:color w:val="auto"/>
          <w:sz w:val="24"/>
          <w:u w:val="single"/>
        </w:rPr>
      </w:pPr>
    </w:p>
    <w:p>
      <w:pPr>
        <w:spacing w:line="360" w:lineRule="auto"/>
        <w:rPr>
          <w:rFonts w:ascii="宋体" w:hAnsi="宋体"/>
          <w:color w:val="auto"/>
          <w:sz w:val="24"/>
          <w:u w:val="single"/>
        </w:rPr>
      </w:pPr>
    </w:p>
    <w:p>
      <w:pPr>
        <w:pStyle w:val="52"/>
        <w:rPr>
          <w:color w:val="auto"/>
        </w:rPr>
      </w:pPr>
    </w:p>
    <w:p>
      <w:pPr>
        <w:pStyle w:val="52"/>
        <w:rPr>
          <w:color w:val="auto"/>
        </w:rPr>
      </w:pPr>
    </w:p>
    <w:p>
      <w:pPr>
        <w:pStyle w:val="51"/>
        <w:rPr>
          <w:rFonts w:hAnsi="宋体"/>
          <w:color w:val="auto"/>
          <w:u w:val="single"/>
        </w:rPr>
      </w:pPr>
    </w:p>
    <w:p>
      <w:pPr>
        <w:pStyle w:val="51"/>
        <w:rPr>
          <w:rFonts w:hAnsi="宋体"/>
          <w:color w:val="auto"/>
          <w:u w:val="single"/>
        </w:rPr>
      </w:pPr>
    </w:p>
    <w:p>
      <w:pPr>
        <w:pStyle w:val="51"/>
        <w:rPr>
          <w:rFonts w:hAnsi="宋体"/>
          <w:color w:val="auto"/>
          <w:u w:val="single"/>
        </w:rPr>
      </w:pPr>
    </w:p>
    <w:p>
      <w:pPr>
        <w:spacing w:line="360" w:lineRule="auto"/>
        <w:ind w:firstLine="420" w:firstLineChars="200"/>
        <w:outlineLvl w:val="0"/>
        <w:rPr>
          <w:rFonts w:ascii="宋体" w:hAnsi="宋体"/>
          <w:b/>
          <w:color w:val="auto"/>
        </w:rPr>
      </w:pPr>
      <w:bookmarkStart w:id="27" w:name="_Toc17611"/>
      <w:bookmarkStart w:id="28" w:name="_Toc85466125"/>
    </w:p>
    <w:p>
      <w:pPr>
        <w:spacing w:line="360" w:lineRule="auto"/>
        <w:ind w:firstLine="420" w:firstLineChars="200"/>
        <w:outlineLvl w:val="0"/>
        <w:rPr>
          <w:rFonts w:ascii="宋体" w:hAnsi="宋体"/>
          <w:b/>
          <w:color w:val="auto"/>
          <w:u w:val="single"/>
        </w:rPr>
      </w:pPr>
      <w:r>
        <w:rPr>
          <w:rFonts w:hint="eastAsia" w:ascii="宋体" w:hAnsi="宋体"/>
          <w:b/>
          <w:color w:val="auto"/>
        </w:rPr>
        <w:t>甲方（全称）：</w:t>
      </w:r>
      <w:r>
        <w:rPr>
          <w:rFonts w:hint="eastAsia" w:ascii="宋体" w:hAnsi="宋体"/>
          <w:b/>
          <w:color w:val="auto"/>
          <w:u w:val="single"/>
        </w:rPr>
        <w:t xml:space="preserve">郑州航空港兴港电力有限公司    </w:t>
      </w:r>
      <w:bookmarkEnd w:id="27"/>
      <w:bookmarkEnd w:id="28"/>
      <w:r>
        <w:rPr>
          <w:rFonts w:hint="eastAsia" w:ascii="宋体" w:hAnsi="宋体"/>
          <w:b/>
          <w:color w:val="auto"/>
          <w:u w:val="single"/>
        </w:rPr>
        <w:t xml:space="preserve"> </w:t>
      </w:r>
    </w:p>
    <w:p>
      <w:pPr>
        <w:spacing w:line="360" w:lineRule="auto"/>
        <w:ind w:firstLine="420" w:firstLineChars="200"/>
        <w:outlineLvl w:val="0"/>
        <w:rPr>
          <w:rFonts w:ascii="宋体" w:hAnsi="宋体"/>
          <w:b/>
          <w:color w:val="auto"/>
          <w:u w:val="single"/>
        </w:rPr>
      </w:pPr>
      <w:bookmarkStart w:id="29" w:name="_Toc85466126"/>
      <w:bookmarkStart w:id="30" w:name="_Toc17025"/>
      <w:r>
        <w:rPr>
          <w:rFonts w:hint="eastAsia" w:ascii="宋体" w:hAnsi="宋体"/>
          <w:b/>
          <w:color w:val="auto"/>
        </w:rPr>
        <w:t>乙方（全称）：</w:t>
      </w:r>
      <w:r>
        <w:rPr>
          <w:rFonts w:hint="eastAsia" w:ascii="宋体" w:hAnsi="宋体"/>
          <w:b/>
          <w:color w:val="auto"/>
          <w:u w:val="single"/>
        </w:rPr>
        <w:t xml:space="preserve"> </w:t>
      </w:r>
      <w:r>
        <w:rPr>
          <w:rFonts w:ascii="宋体" w:hAnsi="宋体"/>
          <w:b/>
          <w:color w:val="auto"/>
          <w:u w:val="single"/>
        </w:rPr>
        <w:t xml:space="preserve">                         </w:t>
      </w:r>
      <w:r>
        <w:rPr>
          <w:rFonts w:hint="eastAsia" w:ascii="宋体" w:hAnsi="宋体"/>
          <w:b/>
          <w:color w:val="auto"/>
          <w:u w:val="single"/>
        </w:rPr>
        <w:t xml:space="preserve">     </w:t>
      </w:r>
      <w:bookmarkEnd w:id="29"/>
      <w:bookmarkEnd w:id="30"/>
    </w:p>
    <w:p>
      <w:pPr>
        <w:spacing w:line="360" w:lineRule="auto"/>
        <w:ind w:firstLine="420" w:firstLineChars="200"/>
        <w:rPr>
          <w:rFonts w:ascii="宋体" w:hAnsi="宋体"/>
          <w:color w:val="auto"/>
        </w:rPr>
      </w:pPr>
      <w:r>
        <w:rPr>
          <w:rFonts w:hint="eastAsia" w:ascii="宋体" w:hAnsi="宋体"/>
          <w:color w:val="auto"/>
        </w:rPr>
        <w:t>根据《中华人民共和国民法典》及有关法律规定，遵循平等、自愿、公平和诚实信用的原则，双方就郑州航空港兴港电力有限公司开闭所视频监控系统采购项目及有关事项协商一致，共同达成如下协议：</w:t>
      </w:r>
    </w:p>
    <w:p>
      <w:pPr>
        <w:numPr>
          <w:ilvl w:val="0"/>
          <w:numId w:val="2"/>
        </w:numPr>
        <w:spacing w:line="460" w:lineRule="exact"/>
        <w:outlineLvl w:val="0"/>
        <w:rPr>
          <w:rFonts w:ascii="宋体" w:hAnsi="宋体"/>
          <w:b/>
          <w:color w:val="auto"/>
        </w:rPr>
      </w:pPr>
      <w:r>
        <w:rPr>
          <w:rFonts w:hint="eastAsia" w:ascii="宋体" w:hAnsi="宋体"/>
          <w:b/>
          <w:color w:val="auto"/>
        </w:rPr>
        <w:t xml:space="preserve">  </w:t>
      </w:r>
      <w:bookmarkStart w:id="31" w:name="_Toc85466127"/>
      <w:bookmarkStart w:id="32" w:name="_Toc2"/>
      <w:r>
        <w:rPr>
          <w:rFonts w:hint="eastAsia" w:ascii="宋体" w:hAnsi="宋体"/>
          <w:b/>
          <w:color w:val="auto"/>
        </w:rPr>
        <w:t>合同文件</w:t>
      </w:r>
      <w:bookmarkEnd w:id="31"/>
      <w:bookmarkEnd w:id="32"/>
    </w:p>
    <w:p>
      <w:pPr>
        <w:spacing w:line="460" w:lineRule="exact"/>
        <w:ind w:firstLine="420" w:firstLineChars="200"/>
        <w:rPr>
          <w:rFonts w:ascii="宋体" w:hAnsi="宋体"/>
          <w:color w:val="auto"/>
        </w:rPr>
      </w:pPr>
      <w:r>
        <w:rPr>
          <w:rFonts w:hint="eastAsia" w:ascii="宋体" w:hAnsi="宋体"/>
          <w:color w:val="auto"/>
        </w:rPr>
        <w:t>下列与本次招标活动有关的文件及附件是本合同不可分割的组成部分，与本合同具有同等法律效力，这些文件包括但不限于：</w:t>
      </w:r>
    </w:p>
    <w:p>
      <w:pPr>
        <w:spacing w:line="460" w:lineRule="exact"/>
        <w:ind w:firstLine="420" w:firstLineChars="200"/>
        <w:outlineLvl w:val="1"/>
        <w:rPr>
          <w:rFonts w:ascii="宋体" w:hAnsi="宋体"/>
          <w:color w:val="auto"/>
        </w:rPr>
      </w:pPr>
      <w:bookmarkStart w:id="33" w:name="_Toc85466128"/>
      <w:bookmarkStart w:id="34" w:name="_Toc8515"/>
      <w:r>
        <w:rPr>
          <w:rFonts w:hint="eastAsia" w:ascii="宋体" w:hAnsi="宋体"/>
          <w:color w:val="auto"/>
        </w:rPr>
        <w:t>1.</w:t>
      </w:r>
      <w:bookmarkEnd w:id="33"/>
      <w:bookmarkEnd w:id="34"/>
      <w:r>
        <w:rPr>
          <w:rFonts w:hint="eastAsia" w:ascii="宋体" w:hAnsi="宋体"/>
          <w:color w:val="auto"/>
        </w:rPr>
        <w:t>询比文件</w:t>
      </w:r>
    </w:p>
    <w:p>
      <w:pPr>
        <w:spacing w:line="460" w:lineRule="exact"/>
        <w:ind w:firstLine="420" w:firstLineChars="200"/>
        <w:outlineLvl w:val="1"/>
        <w:rPr>
          <w:rFonts w:ascii="宋体" w:hAnsi="宋体"/>
          <w:color w:val="auto"/>
        </w:rPr>
      </w:pPr>
      <w:bookmarkStart w:id="35" w:name="_Toc13268"/>
      <w:bookmarkStart w:id="36" w:name="_Toc85466129"/>
      <w:r>
        <w:rPr>
          <w:rFonts w:hint="eastAsia" w:ascii="宋体" w:hAnsi="宋体"/>
          <w:color w:val="auto"/>
        </w:rPr>
        <w:t>2.响应文件</w:t>
      </w:r>
      <w:bookmarkEnd w:id="35"/>
      <w:bookmarkEnd w:id="36"/>
    </w:p>
    <w:p>
      <w:pPr>
        <w:spacing w:line="460" w:lineRule="exact"/>
        <w:ind w:firstLine="420" w:firstLineChars="200"/>
        <w:outlineLvl w:val="1"/>
        <w:rPr>
          <w:rFonts w:ascii="宋体" w:hAnsi="宋体"/>
          <w:color w:val="auto"/>
        </w:rPr>
      </w:pPr>
      <w:bookmarkStart w:id="37" w:name="_Toc85466130"/>
      <w:bookmarkStart w:id="38" w:name="_Toc16709"/>
      <w:r>
        <w:rPr>
          <w:rFonts w:hint="eastAsia" w:ascii="宋体" w:hAnsi="宋体"/>
          <w:color w:val="auto"/>
        </w:rPr>
        <w:t>3.乙方在询比时的书面承诺</w:t>
      </w:r>
      <w:bookmarkEnd w:id="37"/>
      <w:bookmarkEnd w:id="38"/>
    </w:p>
    <w:p>
      <w:pPr>
        <w:spacing w:line="460" w:lineRule="exact"/>
        <w:ind w:firstLine="420" w:firstLineChars="200"/>
        <w:outlineLvl w:val="1"/>
        <w:rPr>
          <w:rFonts w:ascii="宋体" w:hAnsi="宋体"/>
          <w:color w:val="auto"/>
        </w:rPr>
      </w:pPr>
      <w:bookmarkStart w:id="39" w:name="_Toc85466131"/>
      <w:bookmarkStart w:id="40" w:name="_Toc4868"/>
      <w:r>
        <w:rPr>
          <w:rFonts w:hint="eastAsia" w:ascii="宋体" w:hAnsi="宋体"/>
          <w:color w:val="auto"/>
        </w:rPr>
        <w:t>4.成交通知书</w:t>
      </w:r>
      <w:bookmarkEnd w:id="39"/>
      <w:bookmarkEnd w:id="40"/>
    </w:p>
    <w:p>
      <w:pPr>
        <w:spacing w:line="460" w:lineRule="exact"/>
        <w:ind w:firstLine="420" w:firstLineChars="200"/>
        <w:outlineLvl w:val="1"/>
        <w:rPr>
          <w:rFonts w:ascii="宋体" w:hAnsi="宋体"/>
          <w:color w:val="auto"/>
        </w:rPr>
      </w:pPr>
      <w:bookmarkStart w:id="41" w:name="_Toc8572"/>
      <w:bookmarkStart w:id="42" w:name="_Toc85466132"/>
      <w:r>
        <w:rPr>
          <w:rFonts w:hint="eastAsia" w:ascii="宋体" w:hAnsi="宋体"/>
          <w:color w:val="auto"/>
        </w:rPr>
        <w:t>5.合同补充条款或说明</w:t>
      </w:r>
      <w:bookmarkEnd w:id="41"/>
      <w:bookmarkEnd w:id="42"/>
    </w:p>
    <w:p>
      <w:pPr>
        <w:spacing w:line="460" w:lineRule="exact"/>
        <w:ind w:firstLine="420" w:firstLineChars="200"/>
        <w:outlineLvl w:val="1"/>
        <w:rPr>
          <w:rFonts w:ascii="宋体" w:hAnsi="宋体"/>
          <w:color w:val="auto"/>
        </w:rPr>
      </w:pPr>
      <w:bookmarkStart w:id="43" w:name="_Toc21798"/>
      <w:bookmarkStart w:id="44" w:name="_Toc85466133"/>
      <w:r>
        <w:rPr>
          <w:rFonts w:hint="eastAsia" w:ascii="宋体" w:hAnsi="宋体"/>
          <w:color w:val="auto"/>
        </w:rPr>
        <w:t>6.保密协议或条款</w:t>
      </w:r>
      <w:bookmarkEnd w:id="43"/>
      <w:bookmarkEnd w:id="44"/>
    </w:p>
    <w:p>
      <w:pPr>
        <w:spacing w:line="460" w:lineRule="exact"/>
        <w:ind w:firstLine="420" w:firstLineChars="200"/>
        <w:outlineLvl w:val="1"/>
        <w:rPr>
          <w:rFonts w:ascii="宋体" w:hAnsi="宋体"/>
          <w:color w:val="auto"/>
        </w:rPr>
      </w:pPr>
      <w:bookmarkStart w:id="45" w:name="_Toc7780"/>
      <w:bookmarkStart w:id="46" w:name="_Toc85466134"/>
      <w:r>
        <w:rPr>
          <w:rFonts w:hint="eastAsia" w:ascii="宋体" w:hAnsi="宋体"/>
          <w:color w:val="auto"/>
        </w:rPr>
        <w:t>7.相关附件</w:t>
      </w:r>
      <w:bookmarkEnd w:id="45"/>
      <w:bookmarkEnd w:id="46"/>
    </w:p>
    <w:p>
      <w:pPr>
        <w:spacing w:line="460" w:lineRule="exact"/>
        <w:ind w:left="482"/>
        <w:outlineLvl w:val="0"/>
        <w:rPr>
          <w:rFonts w:ascii="宋体" w:hAnsi="宋体"/>
          <w:b/>
          <w:color w:val="auto"/>
        </w:rPr>
      </w:pPr>
      <w:bookmarkStart w:id="47" w:name="_Toc85466135"/>
      <w:bookmarkStart w:id="48" w:name="_Toc20904"/>
      <w:r>
        <w:rPr>
          <w:rFonts w:hint="eastAsia" w:ascii="宋体" w:hAnsi="宋体"/>
          <w:b/>
          <w:color w:val="auto"/>
        </w:rPr>
        <w:t>第二条  合同标的</w:t>
      </w:r>
      <w:bookmarkEnd w:id="47"/>
      <w:bookmarkEnd w:id="48"/>
    </w:p>
    <w:p>
      <w:pPr>
        <w:spacing w:line="460" w:lineRule="exact"/>
        <w:ind w:firstLine="420" w:firstLineChars="200"/>
        <w:rPr>
          <w:rFonts w:ascii="宋体" w:hAnsi="宋体"/>
          <w:color w:val="auto"/>
        </w:rPr>
      </w:pPr>
      <w:r>
        <w:rPr>
          <w:rFonts w:hint="eastAsia" w:ascii="宋体" w:hAnsi="宋体"/>
          <w:color w:val="auto"/>
        </w:rPr>
        <w:t>乙方根据甲方需求提供下列货物（详见附件1《供货明细一览表》）。</w:t>
      </w:r>
    </w:p>
    <w:p>
      <w:pPr>
        <w:spacing w:line="460" w:lineRule="exact"/>
        <w:ind w:left="482"/>
        <w:outlineLvl w:val="0"/>
        <w:rPr>
          <w:rFonts w:ascii="宋体" w:hAnsi="宋体"/>
          <w:b/>
          <w:color w:val="auto"/>
        </w:rPr>
      </w:pPr>
      <w:bookmarkStart w:id="49" w:name="_Toc6098"/>
      <w:bookmarkStart w:id="50" w:name="_Toc85466136"/>
      <w:r>
        <w:rPr>
          <w:rFonts w:hint="eastAsia" w:ascii="宋体" w:hAnsi="宋体"/>
          <w:b/>
          <w:color w:val="auto"/>
        </w:rPr>
        <w:t>第三条  合同总价款</w:t>
      </w:r>
      <w:bookmarkEnd w:id="49"/>
      <w:bookmarkEnd w:id="50"/>
    </w:p>
    <w:p>
      <w:pPr>
        <w:spacing w:line="460" w:lineRule="exact"/>
        <w:ind w:left="18" w:leftChars="9" w:firstLine="459" w:firstLineChars="219"/>
        <w:jc w:val="left"/>
        <w:rPr>
          <w:rFonts w:ascii="宋体" w:hAnsi="宋体"/>
          <w:color w:val="auto"/>
        </w:rPr>
      </w:pPr>
      <w:r>
        <w:rPr>
          <w:rFonts w:hint="eastAsia" w:ascii="宋体" w:hAnsi="宋体"/>
          <w:color w:val="auto"/>
        </w:rPr>
        <w:t>1.本合同项下货物</w:t>
      </w:r>
      <w:r>
        <w:rPr>
          <w:rFonts w:hint="eastAsia" w:ascii="宋体" w:hAnsi="宋体"/>
          <w:color w:val="auto"/>
          <w:szCs w:val="21"/>
        </w:rPr>
        <w:t>总价款：（含增值税）￥</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元，增值税税率为</w:t>
      </w:r>
      <w:r>
        <w:rPr>
          <w:rFonts w:hint="eastAsia" w:ascii="宋体" w:hAnsi="宋体"/>
          <w:color w:val="auto"/>
          <w:szCs w:val="21"/>
          <w:u w:val="single"/>
        </w:rPr>
        <w:t xml:space="preserve">   </w:t>
      </w:r>
      <w:r>
        <w:rPr>
          <w:rFonts w:hint="eastAsia" w:ascii="宋体" w:hAnsi="宋体"/>
          <w:color w:val="auto"/>
          <w:szCs w:val="21"/>
        </w:rPr>
        <w:t>%，其中不含增值税税总价为￥</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元，增值税税金为￥</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元。分项价款详见合同附件1。</w:t>
      </w:r>
      <w:r>
        <w:rPr>
          <w:rFonts w:hint="eastAsia" w:ascii="宋体" w:hAnsi="宋体" w:cs="宋体"/>
          <w:color w:val="auto"/>
          <w:szCs w:val="21"/>
        </w:rPr>
        <w:t>合同履行期间，如遇国家税率调整，合同价中不含税金额不变，增值税按照国家最新的适用税率进行计算，以具体开票时间为准。</w:t>
      </w:r>
    </w:p>
    <w:p>
      <w:pPr>
        <w:spacing w:line="460" w:lineRule="exact"/>
        <w:ind w:firstLine="420" w:firstLineChars="200"/>
        <w:rPr>
          <w:rFonts w:ascii="宋体" w:hAnsi="宋体"/>
          <w:color w:val="auto"/>
        </w:rPr>
      </w:pPr>
      <w:r>
        <w:rPr>
          <w:rFonts w:ascii="宋体" w:hAnsi="宋体"/>
          <w:color w:val="auto"/>
        </w:rPr>
        <w:t>2</w:t>
      </w:r>
      <w:r>
        <w:rPr>
          <w:rFonts w:hint="eastAsia" w:ascii="宋体" w:hAnsi="宋体"/>
          <w:color w:val="auto"/>
        </w:rPr>
        <w:t>.本合同价款包括货物、软件、标准附件、备品备件、专用工具、图纸资料、技术服务，包装、运输、装卸、保险、税金，货到就位以及安装、调试、</w:t>
      </w:r>
      <w:r>
        <w:rPr>
          <w:rFonts w:hint="eastAsia" w:ascii="宋体" w:hAnsi="宋体" w:cs="宋体"/>
          <w:color w:val="auto"/>
          <w:szCs w:val="21"/>
        </w:rPr>
        <w:t>相关技术服务、人员培训、现场技术支持、质保服务和售后服务</w:t>
      </w:r>
      <w:r>
        <w:rPr>
          <w:rFonts w:hint="eastAsia" w:ascii="宋体" w:hAnsi="宋体"/>
          <w:color w:val="auto"/>
        </w:rPr>
        <w:t>的费用。</w:t>
      </w:r>
    </w:p>
    <w:p>
      <w:pPr>
        <w:pStyle w:val="18"/>
        <w:spacing w:line="360" w:lineRule="auto"/>
        <w:ind w:firstLine="420" w:firstLineChars="200"/>
        <w:outlineLvl w:val="0"/>
        <w:rPr>
          <w:rFonts w:hint="eastAsia" w:hAnsi="宋体"/>
          <w:b/>
          <w:color w:val="auto"/>
        </w:rPr>
      </w:pPr>
      <w:bookmarkStart w:id="51" w:name="_Toc16038"/>
      <w:bookmarkStart w:id="52" w:name="_Toc85466137"/>
      <w:r>
        <w:rPr>
          <w:rFonts w:ascii="宋体" w:hAnsi="宋体"/>
          <w:color w:val="auto"/>
          <w:highlight w:val="none"/>
        </w:rPr>
        <w:t>3</w:t>
      </w:r>
      <w:r>
        <w:rPr>
          <w:rFonts w:hint="eastAsia" w:ascii="宋体" w:hAnsi="宋体"/>
          <w:color w:val="auto"/>
          <w:highlight w:val="none"/>
        </w:rPr>
        <w:t>.本合同执行期间合同</w:t>
      </w:r>
      <w:r>
        <w:rPr>
          <w:rFonts w:hint="eastAsia" w:ascii="宋体" w:hAnsi="宋体"/>
          <w:color w:val="auto"/>
          <w:highlight w:val="none"/>
          <w:lang w:val="en-US" w:eastAsia="zh-CN"/>
        </w:rPr>
        <w:t>单价</w:t>
      </w:r>
      <w:r>
        <w:rPr>
          <w:rFonts w:hint="eastAsia" w:ascii="宋体" w:hAnsi="宋体"/>
          <w:color w:val="auto"/>
          <w:highlight w:val="none"/>
        </w:rPr>
        <w:t>不变</w:t>
      </w:r>
      <w:r>
        <w:rPr>
          <w:rFonts w:hint="eastAsia" w:ascii="宋体" w:hAnsi="宋体"/>
          <w:color w:val="auto"/>
          <w:highlight w:val="none"/>
          <w:lang w:eastAsia="zh-CN"/>
        </w:rPr>
        <w:t>，</w:t>
      </w:r>
      <w:r>
        <w:rPr>
          <w:rFonts w:hint="eastAsia" w:ascii="宋体" w:hAnsi="宋体"/>
          <w:color w:val="auto"/>
          <w:highlight w:val="none"/>
          <w:lang w:val="en-US" w:eastAsia="zh-CN"/>
        </w:rPr>
        <w:t>最终结算价款按照实际供货数量计取</w:t>
      </w:r>
      <w:r>
        <w:rPr>
          <w:rFonts w:hint="eastAsia" w:ascii="宋体" w:hAnsi="宋体"/>
          <w:color w:val="auto"/>
          <w:highlight w:val="none"/>
        </w:rPr>
        <w:t>。</w:t>
      </w:r>
    </w:p>
    <w:p>
      <w:pPr>
        <w:pStyle w:val="18"/>
        <w:spacing w:line="360" w:lineRule="auto"/>
        <w:ind w:firstLine="420" w:firstLineChars="200"/>
        <w:outlineLvl w:val="0"/>
        <w:rPr>
          <w:rFonts w:hAnsi="宋体"/>
          <w:color w:val="auto"/>
        </w:rPr>
      </w:pPr>
      <w:r>
        <w:rPr>
          <w:rFonts w:hint="eastAsia" w:hAnsi="宋体"/>
          <w:b/>
          <w:color w:val="auto"/>
        </w:rPr>
        <w:t>第四条  双方一般权利和义务</w:t>
      </w:r>
      <w:bookmarkEnd w:id="51"/>
      <w:bookmarkEnd w:id="52"/>
    </w:p>
    <w:p>
      <w:pPr>
        <w:pStyle w:val="18"/>
        <w:spacing w:line="360" w:lineRule="auto"/>
        <w:ind w:firstLine="420" w:firstLineChars="200"/>
        <w:outlineLvl w:val="1"/>
        <w:rPr>
          <w:rFonts w:hAnsi="宋体"/>
          <w:b/>
          <w:color w:val="auto"/>
        </w:rPr>
      </w:pPr>
      <w:bookmarkStart w:id="53" w:name="_Toc21155"/>
      <w:bookmarkStart w:id="54" w:name="_Toc85466138"/>
      <w:r>
        <w:rPr>
          <w:rFonts w:hint="eastAsia" w:hAnsi="宋体"/>
          <w:b/>
          <w:color w:val="auto"/>
        </w:rPr>
        <w:t>1.委托工作的具体范围和内容：</w:t>
      </w:r>
      <w:bookmarkEnd w:id="53"/>
      <w:bookmarkEnd w:id="54"/>
    </w:p>
    <w:p>
      <w:pPr>
        <w:pStyle w:val="18"/>
        <w:spacing w:line="360" w:lineRule="auto"/>
        <w:ind w:firstLine="420" w:firstLineChars="200"/>
        <w:outlineLvl w:val="1"/>
        <w:rPr>
          <w:rFonts w:hAnsi="宋体"/>
          <w:b/>
          <w:color w:val="auto"/>
        </w:rPr>
      </w:pPr>
      <w:bookmarkStart w:id="55" w:name="_Toc24562"/>
      <w:r>
        <w:rPr>
          <w:rFonts w:hint="eastAsia" w:hAnsi="宋体" w:cs="宋体"/>
          <w:color w:val="auto"/>
          <w:szCs w:val="21"/>
        </w:rPr>
        <w:t>郑州航空港兴港电力有限公司开闭所视频监控系统采购项目的供货、相关技术服务、人员培训、现场技术支持、质保服务和售后服务。</w:t>
      </w:r>
      <w:bookmarkStart w:id="56" w:name="_Toc85466139"/>
    </w:p>
    <w:p>
      <w:pPr>
        <w:pStyle w:val="18"/>
        <w:spacing w:line="360" w:lineRule="auto"/>
        <w:ind w:firstLine="420" w:firstLineChars="200"/>
        <w:outlineLvl w:val="1"/>
        <w:rPr>
          <w:rFonts w:hAnsi="宋体"/>
          <w:b/>
          <w:color w:val="auto"/>
        </w:rPr>
      </w:pPr>
      <w:r>
        <w:rPr>
          <w:rFonts w:hint="eastAsia" w:hAnsi="宋体"/>
          <w:b/>
          <w:color w:val="auto"/>
        </w:rPr>
        <w:t>2.甲方的义务</w:t>
      </w:r>
      <w:bookmarkEnd w:id="55"/>
      <w:bookmarkEnd w:id="56"/>
    </w:p>
    <w:p>
      <w:pPr>
        <w:pStyle w:val="18"/>
        <w:spacing w:line="360" w:lineRule="auto"/>
        <w:ind w:firstLine="420" w:firstLineChars="200"/>
        <w:outlineLvl w:val="2"/>
        <w:rPr>
          <w:rFonts w:hAnsi="宋体"/>
          <w:color w:val="auto"/>
        </w:rPr>
      </w:pPr>
      <w:r>
        <w:rPr>
          <w:rFonts w:hint="eastAsia" w:hAnsi="宋体"/>
          <w:color w:val="auto"/>
        </w:rPr>
        <w:t>2.1 甲方应按约定的时间和要求完成下列工作：</w:t>
      </w:r>
    </w:p>
    <w:p>
      <w:pPr>
        <w:pStyle w:val="18"/>
        <w:spacing w:line="360" w:lineRule="auto"/>
        <w:ind w:firstLine="420" w:firstLineChars="200"/>
        <w:rPr>
          <w:rFonts w:hAnsi="宋体"/>
          <w:color w:val="auto"/>
        </w:rPr>
      </w:pPr>
      <w:r>
        <w:rPr>
          <w:rFonts w:hint="eastAsia" w:hAnsi="宋体"/>
          <w:color w:val="auto"/>
        </w:rPr>
        <w:t>（1）向乙方提供保证履行合同所需的全部资料的时间：合同签订后</w:t>
      </w:r>
      <w:r>
        <w:rPr>
          <w:rFonts w:hint="eastAsia" w:hAnsi="宋体"/>
          <w:color w:val="auto"/>
          <w:u w:val="single"/>
        </w:rPr>
        <w:t xml:space="preserve"> 5 </w:t>
      </w:r>
      <w:r>
        <w:rPr>
          <w:rFonts w:hint="eastAsia" w:hAnsi="宋体"/>
          <w:color w:val="auto"/>
        </w:rPr>
        <w:t>个工作日内 。</w:t>
      </w:r>
    </w:p>
    <w:p>
      <w:pPr>
        <w:pStyle w:val="18"/>
        <w:spacing w:line="360" w:lineRule="auto"/>
        <w:ind w:firstLine="420" w:firstLineChars="200"/>
        <w:rPr>
          <w:rFonts w:hAnsi="宋体"/>
          <w:color w:val="auto"/>
        </w:rPr>
      </w:pPr>
      <w:r>
        <w:rPr>
          <w:rFonts w:hint="eastAsia" w:hAnsi="宋体"/>
          <w:color w:val="auto"/>
        </w:rPr>
        <w:t>（2）向乙方提供保证履行合同顺利完成的条件：对乙方工作给予支持，提供用电、场地等必须的基础工作条件，如乙方有需要，还应提供履行合同所必需的有关数据、资料等。没有甲方事先同意，乙方不得将甲方资料提供给与履行本合同无关的任何其他人。即使向履行本合同有关的人员提供，也应注意保密并限于履行合同的必需范围内。</w:t>
      </w:r>
    </w:p>
    <w:p>
      <w:pPr>
        <w:pStyle w:val="18"/>
        <w:spacing w:line="360" w:lineRule="auto"/>
        <w:ind w:firstLine="420" w:firstLineChars="200"/>
        <w:outlineLvl w:val="2"/>
        <w:rPr>
          <w:rFonts w:hAnsi="宋体"/>
          <w:color w:val="auto"/>
        </w:rPr>
      </w:pPr>
      <w:r>
        <w:rPr>
          <w:rFonts w:hint="eastAsia" w:hAnsi="宋体"/>
          <w:color w:val="auto"/>
        </w:rPr>
        <w:t>2.2 甲方有义务保守履约合同过程中有关的商业秘密。</w:t>
      </w:r>
    </w:p>
    <w:p>
      <w:pPr>
        <w:pStyle w:val="18"/>
        <w:spacing w:line="360" w:lineRule="auto"/>
        <w:ind w:firstLine="420" w:firstLineChars="200"/>
        <w:outlineLvl w:val="1"/>
        <w:rPr>
          <w:rFonts w:hAnsi="宋体"/>
          <w:b/>
          <w:color w:val="auto"/>
        </w:rPr>
      </w:pPr>
      <w:bookmarkStart w:id="57" w:name="_Toc85466140"/>
      <w:bookmarkStart w:id="58" w:name="_Toc29733"/>
      <w:r>
        <w:rPr>
          <w:rFonts w:hint="eastAsia" w:hAnsi="宋体"/>
          <w:b/>
          <w:color w:val="auto"/>
        </w:rPr>
        <w:t>3.乙方的义务</w:t>
      </w:r>
      <w:bookmarkEnd w:id="57"/>
      <w:bookmarkEnd w:id="58"/>
    </w:p>
    <w:p>
      <w:pPr>
        <w:pStyle w:val="18"/>
        <w:spacing w:line="360" w:lineRule="auto"/>
        <w:ind w:firstLine="420" w:firstLineChars="200"/>
        <w:outlineLvl w:val="2"/>
        <w:rPr>
          <w:rFonts w:hAnsi="宋体"/>
          <w:color w:val="auto"/>
        </w:rPr>
      </w:pPr>
      <w:r>
        <w:rPr>
          <w:rFonts w:hint="eastAsia" w:hAnsi="宋体"/>
          <w:color w:val="auto"/>
        </w:rPr>
        <w:t>3.1 乙方应按约定的时间和要求完全下列工作：</w:t>
      </w:r>
    </w:p>
    <w:p>
      <w:pPr>
        <w:pStyle w:val="18"/>
        <w:spacing w:line="360" w:lineRule="auto"/>
        <w:ind w:firstLine="420" w:firstLineChars="200"/>
        <w:rPr>
          <w:rFonts w:hAnsi="宋体"/>
          <w:color w:val="auto"/>
          <w:vertAlign w:val="subscript"/>
        </w:rPr>
      </w:pPr>
      <w:r>
        <w:rPr>
          <w:rFonts w:hint="eastAsia" w:hAnsi="宋体"/>
          <w:color w:val="auto"/>
        </w:rPr>
        <w:t>（1）保证履行合同的内容和时间。</w:t>
      </w:r>
    </w:p>
    <w:p>
      <w:pPr>
        <w:pStyle w:val="18"/>
        <w:spacing w:line="360" w:lineRule="auto"/>
        <w:ind w:firstLine="420" w:firstLineChars="200"/>
        <w:rPr>
          <w:rFonts w:hAnsi="宋体"/>
          <w:color w:val="auto"/>
        </w:rPr>
      </w:pPr>
      <w:r>
        <w:rPr>
          <w:rFonts w:hint="eastAsia" w:hAnsi="宋体"/>
          <w:color w:val="auto"/>
        </w:rPr>
        <w:t>（2）为甲方提供的为保证履行合同的相关咨询服务。</w:t>
      </w:r>
    </w:p>
    <w:p>
      <w:pPr>
        <w:pStyle w:val="18"/>
        <w:spacing w:line="360" w:lineRule="auto"/>
        <w:ind w:firstLine="420" w:firstLineChars="200"/>
        <w:rPr>
          <w:rFonts w:hAnsi="宋体"/>
          <w:color w:val="auto"/>
        </w:rPr>
      </w:pPr>
      <w:r>
        <w:rPr>
          <w:rFonts w:hint="eastAsia" w:hAnsi="宋体"/>
          <w:color w:val="auto"/>
        </w:rPr>
        <w:t>（3）针对设备安装、调试等工作为甲方提供现场技术指导。</w:t>
      </w:r>
    </w:p>
    <w:p>
      <w:pPr>
        <w:pStyle w:val="18"/>
        <w:spacing w:line="360" w:lineRule="auto"/>
        <w:ind w:firstLine="420" w:firstLineChars="200"/>
        <w:rPr>
          <w:rFonts w:hAnsi="宋体"/>
          <w:color w:val="auto"/>
        </w:rPr>
      </w:pPr>
      <w:r>
        <w:rPr>
          <w:rFonts w:hint="eastAsia" w:hAnsi="宋体"/>
          <w:color w:val="auto"/>
        </w:rPr>
        <w:t>（4）对甲方的人员进行专业培训，培训内容包括操作使用、故障判断方法、注意事项、保养维护等，培训应在交货验收后一个月内进行。</w:t>
      </w:r>
    </w:p>
    <w:p>
      <w:pPr>
        <w:pStyle w:val="18"/>
        <w:spacing w:line="360" w:lineRule="auto"/>
        <w:ind w:firstLine="420" w:firstLineChars="200"/>
        <w:rPr>
          <w:rFonts w:hAnsi="宋体"/>
          <w:color w:val="auto"/>
        </w:rPr>
      </w:pPr>
      <w:r>
        <w:rPr>
          <w:rFonts w:hint="eastAsia" w:hAnsi="宋体"/>
          <w:color w:val="auto"/>
        </w:rPr>
        <w:t>（5）应尽的其他义务：</w:t>
      </w:r>
      <w:r>
        <w:rPr>
          <w:rFonts w:hint="eastAsia" w:hAnsi="宋体"/>
          <w:color w:val="auto"/>
          <w:u w:val="single"/>
        </w:rPr>
        <w:t>配合甲方完成甲方提出的其他相关工作</w:t>
      </w:r>
      <w:r>
        <w:rPr>
          <w:rFonts w:hint="eastAsia" w:hAnsi="宋体"/>
          <w:color w:val="auto"/>
        </w:rPr>
        <w:t>。</w:t>
      </w:r>
    </w:p>
    <w:p>
      <w:pPr>
        <w:pStyle w:val="18"/>
        <w:spacing w:line="360" w:lineRule="auto"/>
        <w:ind w:firstLine="420" w:firstLineChars="200"/>
        <w:outlineLvl w:val="2"/>
        <w:rPr>
          <w:rFonts w:hAnsi="宋体"/>
          <w:color w:val="auto"/>
          <w:vertAlign w:val="subscript"/>
        </w:rPr>
      </w:pPr>
      <w:r>
        <w:rPr>
          <w:rFonts w:hint="eastAsia" w:hAnsi="宋体"/>
          <w:color w:val="auto"/>
        </w:rPr>
        <w:t>3.2乙方有义务保守履约合同过程中有关的商业秘密。</w:t>
      </w:r>
    </w:p>
    <w:p>
      <w:pPr>
        <w:pStyle w:val="18"/>
        <w:spacing w:line="360" w:lineRule="auto"/>
        <w:ind w:firstLine="420" w:firstLineChars="200"/>
        <w:outlineLvl w:val="1"/>
        <w:rPr>
          <w:rFonts w:hAnsi="宋体"/>
          <w:b/>
          <w:color w:val="auto"/>
        </w:rPr>
      </w:pPr>
      <w:bookmarkStart w:id="59" w:name="_Toc85466141"/>
      <w:bookmarkStart w:id="60" w:name="_Toc31579"/>
      <w:r>
        <w:rPr>
          <w:rFonts w:hint="eastAsia" w:hAnsi="宋体"/>
          <w:b/>
          <w:color w:val="auto"/>
        </w:rPr>
        <w:t>4. 甲方的权利</w:t>
      </w:r>
      <w:bookmarkEnd w:id="59"/>
      <w:bookmarkEnd w:id="60"/>
    </w:p>
    <w:p>
      <w:pPr>
        <w:pStyle w:val="18"/>
        <w:spacing w:line="360" w:lineRule="auto"/>
        <w:ind w:firstLine="420" w:firstLineChars="200"/>
        <w:rPr>
          <w:rFonts w:hAnsi="宋体"/>
          <w:color w:val="auto"/>
        </w:rPr>
      </w:pPr>
      <w:r>
        <w:rPr>
          <w:rFonts w:hint="eastAsia" w:hAnsi="宋体"/>
          <w:color w:val="auto"/>
        </w:rPr>
        <w:t>4.1 按合同约定，接收项目成果；</w:t>
      </w:r>
    </w:p>
    <w:p>
      <w:pPr>
        <w:pStyle w:val="18"/>
        <w:spacing w:line="360" w:lineRule="auto"/>
        <w:ind w:firstLine="420" w:firstLineChars="200"/>
        <w:rPr>
          <w:rFonts w:hAnsi="宋体"/>
          <w:color w:val="auto"/>
        </w:rPr>
      </w:pPr>
      <w:r>
        <w:rPr>
          <w:rFonts w:hint="eastAsia" w:hAnsi="宋体"/>
          <w:color w:val="auto"/>
        </w:rPr>
        <w:t>4.2 向乙方询问履行合同工作进展情况和相关内容或提出不违反法律、行政法规的建议；</w:t>
      </w:r>
    </w:p>
    <w:p>
      <w:pPr>
        <w:pStyle w:val="18"/>
        <w:spacing w:line="360" w:lineRule="auto"/>
        <w:ind w:firstLine="420" w:firstLineChars="200"/>
        <w:rPr>
          <w:rFonts w:hAnsi="宋体"/>
          <w:color w:val="auto"/>
        </w:rPr>
      </w:pPr>
      <w:r>
        <w:rPr>
          <w:rFonts w:hint="eastAsia" w:hAnsi="宋体"/>
          <w:color w:val="auto"/>
        </w:rPr>
        <w:t>4.3与乙方协商，建议更换其不称职的工作人员；</w:t>
      </w:r>
    </w:p>
    <w:p>
      <w:pPr>
        <w:pStyle w:val="18"/>
        <w:spacing w:line="360" w:lineRule="auto"/>
        <w:ind w:firstLine="420" w:firstLineChars="200"/>
        <w:rPr>
          <w:rFonts w:hAnsi="宋体"/>
          <w:color w:val="auto"/>
        </w:rPr>
      </w:pPr>
      <w:r>
        <w:rPr>
          <w:rFonts w:hint="eastAsia" w:hAnsi="宋体"/>
          <w:color w:val="auto"/>
        </w:rPr>
        <w:t>4.4本合同履行期间，由于乙方不履行合同约定的内容，给甲方造成损失或影响工作正常进行的，甲方有权终止本合同，并依法向乙方追索经济赔偿，直至追究法律责任；</w:t>
      </w:r>
    </w:p>
    <w:p>
      <w:pPr>
        <w:pStyle w:val="18"/>
        <w:spacing w:line="360" w:lineRule="auto"/>
        <w:ind w:firstLine="420" w:firstLineChars="200"/>
        <w:rPr>
          <w:rFonts w:hAnsi="宋体"/>
          <w:color w:val="auto"/>
        </w:rPr>
      </w:pPr>
      <w:r>
        <w:rPr>
          <w:rFonts w:hint="eastAsia" w:hAnsi="宋体"/>
          <w:color w:val="auto"/>
        </w:rPr>
        <w:t>4.5 甲方有权利对乙方在合同履行期间的行为进行监督。</w:t>
      </w:r>
    </w:p>
    <w:p>
      <w:pPr>
        <w:pStyle w:val="18"/>
        <w:spacing w:line="360" w:lineRule="auto"/>
        <w:ind w:firstLine="420" w:firstLineChars="200"/>
        <w:outlineLvl w:val="1"/>
        <w:rPr>
          <w:rFonts w:hAnsi="宋体"/>
          <w:b/>
          <w:color w:val="auto"/>
        </w:rPr>
      </w:pPr>
      <w:bookmarkStart w:id="61" w:name="_Toc85466142"/>
      <w:bookmarkStart w:id="62" w:name="_Toc29116"/>
      <w:r>
        <w:rPr>
          <w:rFonts w:hint="eastAsia" w:hAnsi="宋体"/>
          <w:b/>
          <w:color w:val="auto"/>
        </w:rPr>
        <w:t>5. 乙方的权利</w:t>
      </w:r>
      <w:bookmarkEnd w:id="61"/>
      <w:bookmarkEnd w:id="62"/>
    </w:p>
    <w:p>
      <w:pPr>
        <w:pStyle w:val="18"/>
        <w:spacing w:line="360" w:lineRule="auto"/>
        <w:ind w:firstLine="420" w:firstLineChars="200"/>
        <w:rPr>
          <w:rFonts w:hAnsi="宋体"/>
          <w:color w:val="auto"/>
        </w:rPr>
      </w:pPr>
      <w:r>
        <w:rPr>
          <w:rFonts w:hint="eastAsia" w:hAnsi="宋体"/>
          <w:color w:val="auto"/>
        </w:rPr>
        <w:t>5.1按合同约定收取报酬；</w:t>
      </w:r>
    </w:p>
    <w:p>
      <w:pPr>
        <w:pStyle w:val="18"/>
        <w:spacing w:line="360" w:lineRule="auto"/>
        <w:ind w:firstLine="420" w:firstLineChars="200"/>
        <w:rPr>
          <w:rFonts w:hAnsi="宋体"/>
          <w:color w:val="auto"/>
        </w:rPr>
      </w:pPr>
      <w:r>
        <w:rPr>
          <w:rFonts w:hint="eastAsia" w:hAnsi="宋体"/>
          <w:color w:val="auto"/>
        </w:rPr>
        <w:t>5.2对履行合同中应由甲方做出的决定，乙方有权提出建议；</w:t>
      </w:r>
    </w:p>
    <w:p>
      <w:pPr>
        <w:pStyle w:val="18"/>
        <w:spacing w:line="360" w:lineRule="auto"/>
        <w:ind w:firstLine="420" w:firstLineChars="200"/>
        <w:rPr>
          <w:rFonts w:hAnsi="宋体"/>
          <w:color w:val="auto"/>
        </w:rPr>
      </w:pPr>
      <w:r>
        <w:rPr>
          <w:rFonts w:hint="eastAsia" w:hAnsi="宋体"/>
          <w:color w:val="auto"/>
        </w:rPr>
        <w:t>5.3当甲方提供的资料不足或不明确时，有权要求甲方补足资料或作出明确的答复；</w:t>
      </w:r>
    </w:p>
    <w:p>
      <w:pPr>
        <w:pStyle w:val="18"/>
        <w:spacing w:line="360" w:lineRule="auto"/>
        <w:ind w:firstLine="420" w:firstLineChars="200"/>
        <w:rPr>
          <w:rFonts w:hAnsi="宋体"/>
          <w:color w:val="auto"/>
        </w:rPr>
      </w:pPr>
      <w:r>
        <w:rPr>
          <w:rFonts w:hint="eastAsia" w:hAnsi="宋体"/>
          <w:color w:val="auto"/>
        </w:rPr>
        <w:t>5.4拒绝甲方提出的违反法律、行政法规的要求，并向甲方做出解释。</w:t>
      </w:r>
    </w:p>
    <w:p>
      <w:pPr>
        <w:pStyle w:val="18"/>
        <w:spacing w:line="360" w:lineRule="auto"/>
        <w:ind w:firstLine="420" w:firstLineChars="200"/>
        <w:outlineLvl w:val="0"/>
        <w:rPr>
          <w:rFonts w:hAnsi="宋体"/>
          <w:b/>
          <w:color w:val="auto"/>
        </w:rPr>
      </w:pPr>
      <w:bookmarkStart w:id="63" w:name="_Toc85466143"/>
      <w:bookmarkStart w:id="64" w:name="_Toc9281"/>
      <w:r>
        <w:rPr>
          <w:rFonts w:hint="eastAsia" w:hAnsi="宋体"/>
          <w:b/>
          <w:color w:val="auto"/>
        </w:rPr>
        <w:t>第五条  质量保证</w:t>
      </w:r>
      <w:bookmarkEnd w:id="63"/>
      <w:bookmarkEnd w:id="64"/>
    </w:p>
    <w:p>
      <w:pPr>
        <w:spacing w:line="460" w:lineRule="exact"/>
        <w:ind w:firstLine="420" w:firstLineChars="200"/>
        <w:rPr>
          <w:rFonts w:hint="eastAsia" w:ascii="宋体" w:hAnsi="宋体"/>
          <w:color w:val="auto"/>
        </w:rPr>
      </w:pPr>
      <w:r>
        <w:rPr>
          <w:rFonts w:hint="eastAsia" w:ascii="宋体" w:hAnsi="宋体"/>
          <w:color w:val="auto"/>
        </w:rPr>
        <w:t>1.乙方应保证甲方在使用该货物或其任何一部分时不受第三方提出侵犯其专利权、版权、商标权或其他权利的起诉。一旦出现侵权，索赔或诉讼，乙方应承担全部责任。</w:t>
      </w:r>
    </w:p>
    <w:p>
      <w:pPr>
        <w:spacing w:line="460" w:lineRule="exact"/>
        <w:ind w:firstLine="420" w:firstLineChars="200"/>
        <w:rPr>
          <w:rFonts w:hint="eastAsia" w:ascii="宋体" w:hAnsi="宋体"/>
          <w:color w:val="auto"/>
        </w:rPr>
      </w:pPr>
      <w:r>
        <w:rPr>
          <w:rFonts w:hint="eastAsia" w:ascii="宋体" w:hAnsi="宋体"/>
          <w:color w:val="auto"/>
        </w:rPr>
        <w:t>2.乙方保证货物是全新的、未使用过的，完全符合国家规范及甲乙双方确认的响应文件、本合同关于货物数量、质量的要求。货物符合实行国家“三包”规定的，应执行“三包”规定。</w:t>
      </w:r>
    </w:p>
    <w:p>
      <w:pPr>
        <w:spacing w:line="460" w:lineRule="exact"/>
        <w:ind w:firstLine="420" w:firstLineChars="200"/>
        <w:rPr>
          <w:rFonts w:hint="eastAsia" w:ascii="宋体" w:hAnsi="宋体"/>
          <w:color w:val="auto"/>
        </w:rPr>
      </w:pPr>
      <w:r>
        <w:rPr>
          <w:rFonts w:hint="eastAsia" w:ascii="宋体" w:hAnsi="宋体"/>
          <w:color w:val="auto"/>
        </w:rPr>
        <w:t>3.乙方提交的货物应符合响应文件中技术要求，并应附有货物完整、详细的技术资料和说明文件。</w:t>
      </w:r>
    </w:p>
    <w:p>
      <w:pPr>
        <w:spacing w:line="460" w:lineRule="exact"/>
        <w:ind w:firstLine="420" w:firstLineChars="200"/>
        <w:rPr>
          <w:rFonts w:hint="eastAsia" w:ascii="宋体" w:hAnsi="宋体"/>
          <w:color w:val="auto"/>
        </w:rPr>
      </w:pPr>
      <w:r>
        <w:rPr>
          <w:rFonts w:hint="eastAsia" w:ascii="宋体" w:hAnsi="宋体"/>
          <w:color w:val="auto"/>
        </w:rPr>
        <w:t>4.乙方提交的货物必须按照竞价文件的要求和乙方响应文件的承诺，以约定标准进行制造；采购的进口产品应执行原产地国家有关部门最新颁布的相应正式标准并提供国家商检、海关报关等手续。</w:t>
      </w:r>
    </w:p>
    <w:p>
      <w:pPr>
        <w:spacing w:line="460" w:lineRule="exact"/>
        <w:ind w:firstLine="420" w:firstLineChars="200"/>
        <w:rPr>
          <w:rFonts w:hint="eastAsia" w:ascii="宋体" w:hAnsi="宋体"/>
          <w:color w:val="auto"/>
        </w:rPr>
      </w:pPr>
      <w:r>
        <w:rPr>
          <w:rFonts w:hint="eastAsia" w:ascii="宋体" w:hAnsi="宋体"/>
          <w:color w:val="auto"/>
        </w:rPr>
        <w:t>5.乙方应保证将货物按照国家或专业标准包装、确保货物安全无损运抵合同规定的交货地点。</w:t>
      </w:r>
    </w:p>
    <w:p>
      <w:pPr>
        <w:spacing w:line="460" w:lineRule="exact"/>
        <w:ind w:firstLine="420" w:firstLineChars="200"/>
        <w:rPr>
          <w:rFonts w:hint="eastAsia" w:ascii="宋体" w:hAnsi="宋体"/>
          <w:color w:val="auto"/>
        </w:rPr>
      </w:pPr>
      <w:r>
        <w:rPr>
          <w:rFonts w:hint="eastAsia" w:ascii="宋体" w:hAnsi="宋体"/>
          <w:color w:val="auto"/>
        </w:rPr>
        <w:t>6.乙方保证有一组专业人员专门负责该项目各项工作的实施，并由这批人员负责该项目的全部售后服务工作。产品提供终身技术服务，质保期自货到现场验收合格之日起2年，两年内免费处理各种非人为的问题，两年后若设备有问题，给予及时处理只收取设备材料费。</w:t>
      </w:r>
    </w:p>
    <w:p>
      <w:pPr>
        <w:spacing w:line="460" w:lineRule="exact"/>
        <w:ind w:firstLine="420" w:firstLineChars="200"/>
        <w:rPr>
          <w:rFonts w:hint="eastAsia" w:ascii="宋体" w:hAnsi="宋体"/>
          <w:color w:val="auto"/>
        </w:rPr>
      </w:pPr>
      <w:r>
        <w:rPr>
          <w:rFonts w:hint="eastAsia" w:ascii="宋体" w:hAnsi="宋体"/>
          <w:color w:val="auto"/>
        </w:rPr>
        <w:t>7.若系统在现场投入运行后出现问题，无不可抗拒因素，售后服务人员保证2小时到达现场。</w:t>
      </w:r>
    </w:p>
    <w:p>
      <w:pPr>
        <w:spacing w:line="460" w:lineRule="exact"/>
        <w:ind w:firstLine="420" w:firstLineChars="200"/>
        <w:rPr>
          <w:rFonts w:hint="eastAsia" w:ascii="宋体" w:hAnsi="宋体"/>
          <w:color w:val="auto"/>
        </w:rPr>
      </w:pPr>
      <w:r>
        <w:rPr>
          <w:rFonts w:hint="eastAsia" w:ascii="宋体" w:hAnsi="宋体"/>
          <w:color w:val="auto"/>
        </w:rPr>
        <w:t>8.乙方现场服务人员的目的是使所供设备得到正确的安装、调试和试运行，并能够安全可靠的投入运行。</w:t>
      </w:r>
    </w:p>
    <w:p>
      <w:pPr>
        <w:spacing w:line="460" w:lineRule="exact"/>
        <w:ind w:firstLine="420" w:firstLineChars="200"/>
        <w:rPr>
          <w:rFonts w:hint="eastAsia" w:ascii="宋体" w:hAnsi="宋体"/>
          <w:color w:val="auto"/>
        </w:rPr>
      </w:pPr>
      <w:r>
        <w:rPr>
          <w:rFonts w:hint="eastAsia" w:ascii="宋体" w:hAnsi="宋体"/>
          <w:color w:val="auto"/>
        </w:rPr>
        <w:t>9.在产品到货、安装、调试、投运、交接试验及人员培训的各个时期，乙方免费委派专业技术服务人员到现场进行技术服务，协助指导安装；</w:t>
      </w:r>
    </w:p>
    <w:p>
      <w:pPr>
        <w:spacing w:line="460" w:lineRule="exact"/>
        <w:ind w:firstLine="420" w:firstLineChars="200"/>
        <w:rPr>
          <w:rFonts w:hint="eastAsia" w:ascii="宋体" w:hAnsi="宋体"/>
          <w:color w:val="auto"/>
        </w:rPr>
      </w:pPr>
      <w:r>
        <w:rPr>
          <w:rFonts w:hint="eastAsia" w:ascii="宋体" w:hAnsi="宋体"/>
          <w:color w:val="auto"/>
        </w:rPr>
        <w:t>10.乙方为甲方提供产品的安装、调试、使用及维护知识的业务培训。</w:t>
      </w:r>
    </w:p>
    <w:p>
      <w:pPr>
        <w:spacing w:line="460" w:lineRule="exact"/>
        <w:ind w:firstLine="420" w:firstLineChars="200"/>
        <w:rPr>
          <w:rFonts w:ascii="宋体" w:hAnsi="宋体"/>
          <w:color w:val="auto"/>
        </w:rPr>
      </w:pPr>
      <w:r>
        <w:rPr>
          <w:rFonts w:hint="eastAsia" w:ascii="宋体" w:hAnsi="宋体"/>
          <w:color w:val="auto"/>
        </w:rPr>
        <w:t>11.乙方保证货物不存在危及人身及财产安全的产品缺陷，否则应承担全部法律责任。</w:t>
      </w:r>
    </w:p>
    <w:p>
      <w:pPr>
        <w:spacing w:line="460" w:lineRule="exact"/>
        <w:ind w:left="482"/>
        <w:outlineLvl w:val="0"/>
        <w:rPr>
          <w:rFonts w:ascii="宋体" w:hAnsi="宋体"/>
          <w:b/>
          <w:color w:val="auto"/>
        </w:rPr>
      </w:pPr>
      <w:bookmarkStart w:id="65" w:name="_Toc85466144"/>
      <w:bookmarkStart w:id="66" w:name="_Toc24233"/>
      <w:r>
        <w:rPr>
          <w:rFonts w:hint="eastAsia" w:ascii="宋体" w:hAnsi="宋体"/>
          <w:b/>
          <w:color w:val="auto"/>
        </w:rPr>
        <w:t>第六条  付款方式</w:t>
      </w:r>
      <w:bookmarkEnd w:id="65"/>
      <w:bookmarkEnd w:id="66"/>
    </w:p>
    <w:p>
      <w:pPr>
        <w:spacing w:line="460" w:lineRule="exact"/>
        <w:ind w:firstLine="420" w:firstLineChars="200"/>
        <w:rPr>
          <w:rFonts w:ascii="宋体" w:hAnsi="宋体"/>
          <w:color w:val="auto"/>
        </w:rPr>
      </w:pPr>
      <w:r>
        <w:rPr>
          <w:rFonts w:hint="eastAsia" w:ascii="宋体" w:hAnsi="宋体"/>
          <w:color w:val="auto"/>
        </w:rPr>
        <w:t>1.本合同项下所有款项均以人民币支付。</w:t>
      </w:r>
    </w:p>
    <w:p>
      <w:pPr>
        <w:spacing w:line="460" w:lineRule="exact"/>
        <w:ind w:firstLine="420" w:firstLineChars="200"/>
        <w:rPr>
          <w:rFonts w:ascii="宋体" w:hAnsi="宋体"/>
          <w:color w:val="auto"/>
        </w:rPr>
      </w:pPr>
      <w:r>
        <w:rPr>
          <w:rFonts w:hint="eastAsia" w:ascii="宋体" w:hAnsi="宋体"/>
          <w:color w:val="auto"/>
        </w:rPr>
        <w:t>2.乙方向甲方提交下列文件材料，经甲方审核无误后支付采购价款：</w:t>
      </w:r>
    </w:p>
    <w:p>
      <w:pPr>
        <w:spacing w:line="460" w:lineRule="exact"/>
        <w:ind w:firstLine="420" w:firstLineChars="200"/>
        <w:rPr>
          <w:rFonts w:ascii="宋体" w:hAnsi="宋体"/>
          <w:color w:val="auto"/>
        </w:rPr>
      </w:pPr>
      <w:r>
        <w:rPr>
          <w:rFonts w:hint="eastAsia" w:ascii="宋体" w:hAnsi="宋体"/>
          <w:color w:val="auto"/>
        </w:rPr>
        <w:t>（1）经甲方确认的发票；</w:t>
      </w:r>
    </w:p>
    <w:p>
      <w:pPr>
        <w:spacing w:line="460" w:lineRule="exact"/>
        <w:ind w:firstLine="420" w:firstLineChars="200"/>
        <w:rPr>
          <w:rFonts w:ascii="宋体" w:hAnsi="宋体"/>
          <w:color w:val="auto"/>
        </w:rPr>
      </w:pPr>
      <w:r>
        <w:rPr>
          <w:rFonts w:hint="eastAsia" w:ascii="宋体" w:hAnsi="宋体"/>
          <w:color w:val="auto"/>
        </w:rPr>
        <w:t>（2）经甲乙双方确认签署的《验收报告》；</w:t>
      </w:r>
    </w:p>
    <w:p>
      <w:pPr>
        <w:spacing w:line="460" w:lineRule="exact"/>
        <w:ind w:firstLine="420" w:firstLineChars="200"/>
        <w:rPr>
          <w:rFonts w:ascii="宋体" w:hAnsi="宋体"/>
          <w:color w:val="auto"/>
        </w:rPr>
      </w:pPr>
      <w:r>
        <w:rPr>
          <w:rFonts w:hint="eastAsia" w:ascii="宋体" w:hAnsi="宋体"/>
          <w:color w:val="auto"/>
        </w:rPr>
        <w:t>（3）其他材料。</w:t>
      </w:r>
    </w:p>
    <w:p>
      <w:pPr>
        <w:spacing w:line="460" w:lineRule="exact"/>
        <w:ind w:firstLine="420" w:firstLineChars="200"/>
        <w:rPr>
          <w:rFonts w:ascii="宋体" w:hAnsi="宋体" w:cs="宋体"/>
          <w:color w:val="auto"/>
          <w:szCs w:val="21"/>
        </w:rPr>
      </w:pPr>
      <w:bookmarkStart w:id="67" w:name="_Toc4390"/>
      <w:r>
        <w:rPr>
          <w:rFonts w:hint="eastAsia" w:ascii="宋体" w:hAnsi="宋体" w:cs="宋体"/>
          <w:color w:val="auto"/>
          <w:szCs w:val="21"/>
        </w:rPr>
        <w:t>3.</w:t>
      </w:r>
      <w:r>
        <w:rPr>
          <w:rFonts w:hint="eastAsia"/>
          <w:color w:val="auto"/>
        </w:rPr>
        <w:t>付款方式：合同签订后，乙方按照甲方要求供货，当批货物到达现场并</w:t>
      </w:r>
      <w:r>
        <w:rPr>
          <w:rFonts w:hint="eastAsia"/>
          <w:color w:val="auto"/>
          <w:lang w:val="en-US" w:eastAsia="zh-CN"/>
        </w:rPr>
        <w:t>安装调试完成，</w:t>
      </w:r>
      <w:r>
        <w:rPr>
          <w:rFonts w:hint="eastAsia"/>
          <w:color w:val="auto"/>
        </w:rPr>
        <w:t>经甲方验收合格后，甲方自乙方提交付款申请后30日内支付当批货款的95%给乙方，质保金为货款的5% 在所有货物质保期满</w:t>
      </w:r>
      <w:r>
        <w:rPr>
          <w:rFonts w:hint="eastAsia"/>
          <w:color w:val="auto"/>
          <w:szCs w:val="21"/>
        </w:rPr>
        <w:t>或乙方向甲方开具等额保函（保函期限应大于质保期）作为质保金</w:t>
      </w:r>
      <w:r>
        <w:rPr>
          <w:rFonts w:hint="eastAsia"/>
          <w:color w:val="auto"/>
        </w:rPr>
        <w:t>后付清。</w:t>
      </w:r>
    </w:p>
    <w:p>
      <w:pPr>
        <w:spacing w:line="460" w:lineRule="exact"/>
        <w:ind w:left="482"/>
        <w:outlineLvl w:val="0"/>
        <w:rPr>
          <w:rFonts w:ascii="宋体" w:hAnsi="宋体" w:cs="宋体"/>
          <w:b/>
          <w:color w:val="auto"/>
          <w:szCs w:val="21"/>
        </w:rPr>
      </w:pPr>
      <w:bookmarkStart w:id="68" w:name="_Toc85466145"/>
      <w:r>
        <w:rPr>
          <w:rFonts w:hint="eastAsia" w:ascii="宋体" w:hAnsi="宋体" w:cs="宋体"/>
          <w:b/>
          <w:color w:val="auto"/>
          <w:szCs w:val="21"/>
        </w:rPr>
        <w:t>第七条  履约保证金</w:t>
      </w:r>
      <w:bookmarkEnd w:id="68"/>
    </w:p>
    <w:p>
      <w:pPr>
        <w:spacing w:line="460" w:lineRule="exact"/>
        <w:ind w:left="482"/>
        <w:outlineLvl w:val="0"/>
        <w:rPr>
          <w:rFonts w:ascii="宋体" w:hAnsi="宋体"/>
          <w:b/>
          <w:color w:val="auto"/>
        </w:rPr>
      </w:pPr>
      <w:bookmarkStart w:id="69" w:name="_Toc85466146"/>
      <w:r>
        <w:rPr>
          <w:rFonts w:hint="eastAsia" w:ascii="宋体" w:hAnsi="宋体"/>
          <w:b/>
          <w:color w:val="auto"/>
        </w:rPr>
        <w:t>无</w:t>
      </w:r>
    </w:p>
    <w:p>
      <w:pPr>
        <w:spacing w:line="460" w:lineRule="exact"/>
        <w:ind w:left="482"/>
        <w:outlineLvl w:val="0"/>
        <w:rPr>
          <w:rFonts w:ascii="宋体" w:hAnsi="宋体"/>
          <w:b/>
          <w:color w:val="auto"/>
        </w:rPr>
      </w:pPr>
      <w:r>
        <w:rPr>
          <w:rFonts w:hint="eastAsia" w:ascii="宋体" w:hAnsi="宋体"/>
          <w:b/>
          <w:color w:val="auto"/>
        </w:rPr>
        <w:t>第八条  交货和验收</w:t>
      </w:r>
      <w:bookmarkEnd w:id="67"/>
      <w:bookmarkEnd w:id="69"/>
    </w:p>
    <w:p>
      <w:pPr>
        <w:spacing w:line="460" w:lineRule="exact"/>
        <w:ind w:firstLine="420" w:firstLineChars="200"/>
        <w:rPr>
          <w:rFonts w:ascii="宋体" w:hAnsi="宋体"/>
          <w:color w:val="auto"/>
          <w:u w:val="single"/>
        </w:rPr>
      </w:pPr>
      <w:r>
        <w:rPr>
          <w:rFonts w:hint="eastAsia" w:ascii="宋体" w:hAnsi="宋体"/>
          <w:color w:val="auto"/>
        </w:rPr>
        <w:t xml:space="preserve">1.交货时间： </w:t>
      </w:r>
      <w:r>
        <w:rPr>
          <w:rFonts w:hint="eastAsia" w:ascii="宋体" w:hAnsi="宋体"/>
          <w:color w:val="auto"/>
          <w:u w:val="single"/>
        </w:rPr>
        <w:t xml:space="preserve">   在采购人下达供货通知后    天内交付     </w:t>
      </w:r>
      <w:r>
        <w:rPr>
          <w:rFonts w:hint="eastAsia" w:ascii="宋体" w:hAnsi="宋体"/>
          <w:color w:val="auto"/>
        </w:rPr>
        <w:t>。</w:t>
      </w:r>
    </w:p>
    <w:p>
      <w:pPr>
        <w:spacing w:line="460" w:lineRule="exact"/>
        <w:ind w:firstLine="630" w:firstLineChars="300"/>
        <w:rPr>
          <w:rFonts w:ascii="宋体" w:hAnsi="宋体"/>
          <w:color w:val="auto"/>
        </w:rPr>
      </w:pPr>
      <w:r>
        <w:rPr>
          <w:rFonts w:hint="eastAsia" w:ascii="宋体" w:hAnsi="宋体"/>
          <w:color w:val="auto"/>
        </w:rPr>
        <w:t xml:space="preserve">交货地点： </w:t>
      </w:r>
      <w:r>
        <w:rPr>
          <w:rFonts w:hint="eastAsia" w:ascii="宋体" w:hAnsi="宋体"/>
          <w:color w:val="auto"/>
          <w:u w:val="single"/>
        </w:rPr>
        <w:t xml:space="preserve">  以甲方下发的供货通知为准     </w:t>
      </w:r>
      <w:r>
        <w:rPr>
          <w:rFonts w:hint="eastAsia" w:ascii="宋体" w:hAnsi="宋体"/>
          <w:color w:val="auto"/>
        </w:rPr>
        <w:t>。</w:t>
      </w:r>
    </w:p>
    <w:p>
      <w:pPr>
        <w:pStyle w:val="18"/>
        <w:tabs>
          <w:tab w:val="left" w:pos="0"/>
        </w:tabs>
        <w:spacing w:line="460" w:lineRule="exact"/>
        <w:ind w:firstLine="420" w:firstLineChars="200"/>
        <w:rPr>
          <w:rFonts w:hAnsi="宋体"/>
          <w:color w:val="auto"/>
          <w:highlight w:val="none"/>
        </w:rPr>
      </w:pPr>
      <w:r>
        <w:rPr>
          <w:rFonts w:hint="eastAsia" w:hAnsi="宋体"/>
          <w:color w:val="auto"/>
          <w:highlight w:val="none"/>
        </w:rPr>
        <w:t>2.乙方应对提供的货物做出全面自查和整理，并列出清单，作为甲方验收和使用的技术条件依据，清单应随提供的验收资料交给甲方。</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3.项目实施保障措施</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为保证整个项目的整体技术和质量，乙方保证按下述条例来实施本项目，建立相应的技术和质量保证团队，具体方法按以下条例进行：</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1）、建立以项目经理为首的各级技术、质量保证体系，明确各级质量责任制，技术、质量保证体系。项目经理负责协调工程全过程的各项工作。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2）、严格按国家有关的“规范、规程、标准”及设计要求组织、指导、检查全过程的生产和施工。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3）、组织相关人员进行图纸会审、熟悉图纸，了解设计意图。</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4）、在项目质量自检、互检、交接检的基础上，逐日组织质量报验，不合格工序不得进行下一工序施工。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5)、建立技术、质量资料档案，随项目进度，及时认真做好有关记录的收集、整理、归档工作。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6）、乙方需派有丰富经验的技术人员到现场进行技术服务。</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7）、若乙方服务人员若不能胜任工作，甲方有权要求在不影响工程进度的条件下要求乙方重新选派服务人员。</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8）、甲方要求乙方进行现场服务时，乙方将在接到贵方通知及时做出响应。</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9）、乙方现场人员，将严格遵守施工现场的各项安全规章制度，自觉做好安全保护措施，服从现场的监督管理。</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10）、甲方可委派人员在项目的各个环节对乙方进行监督，乙方将积极配合甲方的监督工作。</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.甲方应当在到货后的</w:t>
      </w:r>
      <w:r>
        <w:rPr>
          <w:rFonts w:hint="eastAsia" w:ascii="宋体" w:hAnsi="宋体"/>
          <w:color w:val="auto"/>
          <w:highlight w:val="none"/>
          <w:u w:val="single"/>
        </w:rPr>
        <w:t xml:space="preserve">   10  </w:t>
      </w:r>
      <w:r>
        <w:rPr>
          <w:rFonts w:hint="eastAsia" w:ascii="宋体" w:hAnsi="宋体"/>
          <w:color w:val="auto"/>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.验收合格的，由双方共同签署《验收报告》。</w:t>
      </w:r>
    </w:p>
    <w:p>
      <w:pPr>
        <w:snapToGrid/>
        <w:spacing w:line="46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.甲方可以视项目规模或复杂情况聘请专业人员参与验收。</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货物验收包括：货物包装是否完好，产地生产厂家名称、品牌、型号、规格、数量、外观质量、配置、内在质量。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460" w:lineRule="exact"/>
        <w:ind w:firstLine="420" w:firstLineChars="200"/>
        <w:rPr>
          <w:rFonts w:ascii="宋体" w:hAnsi="宋体"/>
          <w:color w:val="auto"/>
        </w:rPr>
      </w:pPr>
      <w:r>
        <w:rPr>
          <w:rFonts w:hint="eastAsia" w:ascii="宋体" w:hAnsi="宋体"/>
          <w:color w:val="auto"/>
          <w:highlight w:val="none"/>
          <w:lang w:val="en-US" w:eastAsia="zh-CN"/>
        </w:rPr>
        <w:t>8</w:t>
      </w:r>
      <w:r>
        <w:rPr>
          <w:rFonts w:hint="eastAsia" w:ascii="宋体" w:hAnsi="宋体"/>
          <w:color w:val="auto"/>
          <w:highlight w:val="none"/>
        </w:rPr>
        <w:t>.如果合同双方对《验收报告》有分歧，双方须于出现分歧后</w:t>
      </w:r>
      <w:r>
        <w:rPr>
          <w:rFonts w:hint="eastAsia" w:ascii="宋体" w:hAnsi="宋体"/>
          <w:color w:val="auto"/>
          <w:highlight w:val="none"/>
          <w:u w:val="single"/>
        </w:rPr>
        <w:t xml:space="preserve">  7  </w:t>
      </w:r>
      <w:r>
        <w:rPr>
          <w:rFonts w:hint="eastAsia" w:ascii="宋体" w:hAnsi="宋体"/>
          <w:color w:val="auto"/>
          <w:highlight w:val="none"/>
        </w:rPr>
        <w:t>天内给对方书面声明，以陈述己方的理由及要求，并附有关证据。分歧应通过协商解决。</w:t>
      </w:r>
    </w:p>
    <w:p>
      <w:pPr>
        <w:spacing w:line="460" w:lineRule="exact"/>
        <w:ind w:firstLine="420" w:firstLineChars="200"/>
        <w:outlineLvl w:val="0"/>
        <w:rPr>
          <w:rFonts w:ascii="宋体" w:hAnsi="宋体"/>
          <w:b/>
          <w:color w:val="auto"/>
        </w:rPr>
      </w:pPr>
      <w:bookmarkStart w:id="70" w:name="_Toc31938"/>
      <w:bookmarkStart w:id="71" w:name="_Toc85466147"/>
      <w:r>
        <w:rPr>
          <w:rFonts w:hint="eastAsia" w:ascii="宋体" w:hAnsi="宋体"/>
          <w:b/>
          <w:color w:val="auto"/>
        </w:rPr>
        <w:t>第九条  项目管理服务</w:t>
      </w:r>
      <w:bookmarkEnd w:id="70"/>
      <w:bookmarkEnd w:id="71"/>
    </w:p>
    <w:p>
      <w:pPr>
        <w:spacing w:line="460" w:lineRule="exact"/>
        <w:ind w:firstLine="420" w:firstLineChars="200"/>
        <w:rPr>
          <w:rFonts w:ascii="宋体" w:hAnsi="宋体"/>
          <w:color w:val="auto"/>
        </w:rPr>
      </w:pPr>
      <w:r>
        <w:rPr>
          <w:rFonts w:hint="eastAsia" w:ascii="宋体" w:hAnsi="宋体"/>
          <w:color w:val="auto"/>
        </w:rPr>
        <w:t>乙方应指定不少于一人全权全程负责本项目的商务服务，以及货物安装、调试、咨询、培训和售后等技术服务工作。</w:t>
      </w:r>
    </w:p>
    <w:p>
      <w:pPr>
        <w:snapToGrid w:val="0"/>
        <w:spacing w:line="460" w:lineRule="exact"/>
        <w:ind w:firstLine="481"/>
        <w:textAlignment w:val="baseline"/>
        <w:rPr>
          <w:rFonts w:ascii="宋体" w:hAnsi="宋体"/>
          <w:color w:val="auto"/>
        </w:rPr>
      </w:pPr>
      <w:r>
        <w:rPr>
          <w:rFonts w:hint="eastAsia" w:ascii="宋体" w:hAnsi="宋体"/>
          <w:color w:val="auto"/>
        </w:rPr>
        <w:t xml:space="preserve">项目负责人姓名： </w:t>
      </w:r>
      <w:r>
        <w:rPr>
          <w:rFonts w:hint="eastAsia" w:ascii="宋体" w:hAnsi="宋体"/>
          <w:color w:val="auto"/>
          <w:u w:val="single" w:color="000000"/>
        </w:rPr>
        <w:t xml:space="preserve">          </w:t>
      </w:r>
      <w:r>
        <w:rPr>
          <w:rFonts w:hint="eastAsia" w:ascii="宋体" w:hAnsi="宋体"/>
          <w:color w:val="auto"/>
        </w:rPr>
        <w:t>； 联系电话：</w:t>
      </w:r>
      <w:r>
        <w:rPr>
          <w:rFonts w:hint="eastAsia" w:ascii="宋体" w:hAnsi="宋体"/>
          <w:color w:val="auto"/>
          <w:u w:val="single" w:color="000000"/>
        </w:rPr>
        <w:t xml:space="preserve">              </w:t>
      </w:r>
      <w:r>
        <w:rPr>
          <w:rFonts w:hint="eastAsia" w:ascii="宋体" w:hAnsi="宋体"/>
          <w:color w:val="auto"/>
        </w:rPr>
        <w:t>。</w:t>
      </w:r>
    </w:p>
    <w:p>
      <w:pPr>
        <w:spacing w:line="460" w:lineRule="exact"/>
        <w:ind w:firstLine="420" w:firstLineChars="200"/>
        <w:outlineLvl w:val="0"/>
        <w:rPr>
          <w:rFonts w:ascii="宋体" w:hAnsi="宋体"/>
          <w:b/>
          <w:color w:val="auto"/>
        </w:rPr>
      </w:pPr>
      <w:bookmarkStart w:id="72" w:name="_Toc85466148"/>
      <w:bookmarkStart w:id="73" w:name="_Toc8489"/>
      <w:r>
        <w:rPr>
          <w:rFonts w:hint="eastAsia" w:ascii="宋体" w:hAnsi="宋体"/>
          <w:b/>
          <w:color w:val="auto"/>
        </w:rPr>
        <w:t>第十条  售后服务</w:t>
      </w:r>
      <w:bookmarkEnd w:id="72"/>
      <w:bookmarkEnd w:id="73"/>
    </w:p>
    <w:p>
      <w:pPr>
        <w:spacing w:line="460" w:lineRule="exact"/>
        <w:ind w:firstLine="420" w:firstLineChars="200"/>
        <w:rPr>
          <w:rFonts w:ascii="宋体" w:hAnsi="宋体"/>
          <w:color w:val="auto"/>
        </w:rPr>
      </w:pPr>
      <w:r>
        <w:rPr>
          <w:rFonts w:hint="eastAsia" w:ascii="宋体" w:hAnsi="宋体"/>
          <w:color w:val="auto"/>
        </w:rPr>
        <w:t>1.质量保证期为自货物交货验收合格之日起</w:t>
      </w:r>
      <w:r>
        <w:rPr>
          <w:rFonts w:hint="eastAsia" w:ascii="宋体" w:hAnsi="宋体"/>
          <w:color w:val="auto"/>
          <w:lang w:val="en-US" w:eastAsia="zh-CN"/>
        </w:rPr>
        <w:t>1</w:t>
      </w:r>
      <w:r>
        <w:rPr>
          <w:rFonts w:hint="eastAsia" w:ascii="宋体" w:hAnsi="宋体"/>
          <w:color w:val="auto"/>
        </w:rPr>
        <w:t>年，质保期内提供免费质保服务。</w:t>
      </w:r>
    </w:p>
    <w:p>
      <w:pPr>
        <w:spacing w:line="460" w:lineRule="exact"/>
        <w:ind w:firstLine="420" w:firstLineChars="200"/>
        <w:rPr>
          <w:rFonts w:ascii="宋体" w:hAnsi="宋体"/>
          <w:color w:val="auto"/>
        </w:rPr>
      </w:pPr>
      <w:r>
        <w:rPr>
          <w:rFonts w:hint="eastAsia" w:ascii="宋体" w:hAnsi="宋体"/>
          <w:color w:val="auto"/>
        </w:rPr>
        <w:t>2.在货物质保期内，乙方应对由于设计、工艺、质量（含环保节能要求）、材料和的缺陷而发生的任何不足或故障负责，并解决存在的问题。</w:t>
      </w:r>
    </w:p>
    <w:p>
      <w:pPr>
        <w:spacing w:line="460" w:lineRule="exact"/>
        <w:ind w:firstLine="420" w:firstLineChars="200"/>
        <w:rPr>
          <w:rFonts w:ascii="宋体" w:hAnsi="宋体"/>
          <w:color w:val="auto"/>
        </w:rPr>
      </w:pPr>
      <w:r>
        <w:rPr>
          <w:rFonts w:hint="eastAsia" w:ascii="宋体" w:hAnsi="宋体"/>
          <w:color w:val="auto"/>
        </w:rPr>
        <w:t>3.对不符合本合同第五条规定要求的货物应立即进行调换，调换本身并不影响甲方就其损失向乙方索赔的权利。</w:t>
      </w:r>
    </w:p>
    <w:p>
      <w:pPr>
        <w:spacing w:line="460" w:lineRule="exact"/>
        <w:ind w:firstLine="420" w:firstLineChars="200"/>
        <w:rPr>
          <w:rFonts w:ascii="宋体" w:hAnsi="宋体"/>
          <w:color w:val="auto"/>
        </w:rPr>
      </w:pPr>
      <w:r>
        <w:rPr>
          <w:rFonts w:hint="eastAsia" w:ascii="宋体" w:hAnsi="宋体"/>
          <w:color w:val="auto"/>
        </w:rPr>
        <w:t>4.乙方应当建立健全售后服务体系，确保货物正常运行。乙方应当遵守甲方的有关管理制度、操作规程。对于乙方违规操作造成甲方损失的，由乙方按照本合同第十三条的约定承担赔偿责任。</w:t>
      </w:r>
    </w:p>
    <w:p>
      <w:pPr>
        <w:spacing w:line="360" w:lineRule="auto"/>
        <w:ind w:firstLine="420" w:firstLineChars="200"/>
        <w:jc w:val="left"/>
        <w:rPr>
          <w:rFonts w:ascii="宋体" w:hAnsi="宋体"/>
          <w:color w:val="auto"/>
        </w:rPr>
      </w:pPr>
      <w:r>
        <w:rPr>
          <w:rFonts w:hint="eastAsia" w:ascii="宋体" w:hAnsi="宋体"/>
          <w:color w:val="auto"/>
        </w:rPr>
        <w:t>5.</w:t>
      </w:r>
      <w:r>
        <w:rPr>
          <w:rFonts w:hint="eastAsia" w:ascii="宋体" w:hAnsi="宋体"/>
          <w:color w:val="auto"/>
          <w:lang w:eastAsia="zh-CN"/>
        </w:rPr>
        <w:t>质保期内，</w:t>
      </w:r>
      <w:r>
        <w:rPr>
          <w:rFonts w:hint="eastAsia" w:ascii="宋体" w:hAnsi="宋体"/>
          <w:color w:val="auto"/>
        </w:rPr>
        <w:t>当产品的软件更新时，乙方应及时免费提供相应的软件及技术培训或其它技术服务。</w:t>
      </w:r>
    </w:p>
    <w:p>
      <w:pPr>
        <w:spacing w:line="360" w:lineRule="auto"/>
        <w:ind w:firstLine="420" w:firstLineChars="200"/>
        <w:jc w:val="left"/>
        <w:rPr>
          <w:rFonts w:ascii="宋体" w:hAnsi="宋体"/>
          <w:color w:val="auto"/>
        </w:rPr>
      </w:pPr>
      <w:r>
        <w:rPr>
          <w:rFonts w:hint="eastAsia" w:ascii="宋体" w:hAnsi="宋体"/>
          <w:color w:val="auto"/>
          <w:lang w:val="en-US" w:eastAsia="zh-CN"/>
        </w:rPr>
        <w:t>6</w:t>
      </w:r>
      <w:r>
        <w:rPr>
          <w:rFonts w:hint="eastAsia" w:ascii="宋体" w:hAnsi="宋体"/>
          <w:color w:val="auto"/>
        </w:rPr>
        <w:t>.</w:t>
      </w:r>
      <w:r>
        <w:rPr>
          <w:rFonts w:hint="eastAsia" w:ascii="宋体" w:hAnsi="宋体" w:cs="宋体"/>
          <w:color w:val="auto"/>
          <w:szCs w:val="21"/>
        </w:rPr>
        <w:t>提供1年免费质保、免费使用培训服务，终身有偿维修和技术支持。一旦产品出现故障，无论是保修期内还是保修期外，在48小时内予以响应并将故障排除。</w:t>
      </w:r>
    </w:p>
    <w:p>
      <w:pPr>
        <w:spacing w:line="460" w:lineRule="exact"/>
        <w:ind w:firstLine="420" w:firstLineChars="200"/>
        <w:outlineLvl w:val="0"/>
        <w:rPr>
          <w:rFonts w:ascii="宋体" w:hAnsi="宋体"/>
          <w:b/>
          <w:color w:val="auto"/>
        </w:rPr>
      </w:pPr>
      <w:bookmarkStart w:id="74" w:name="_Toc17520"/>
      <w:bookmarkStart w:id="75" w:name="_Toc85466149"/>
      <w:r>
        <w:rPr>
          <w:rFonts w:hint="eastAsia" w:ascii="宋体" w:hAnsi="宋体"/>
          <w:b/>
          <w:color w:val="auto"/>
        </w:rPr>
        <w:t>第十一条  分包和转包</w:t>
      </w:r>
      <w:bookmarkEnd w:id="74"/>
      <w:bookmarkEnd w:id="75"/>
    </w:p>
    <w:p>
      <w:pPr>
        <w:spacing w:line="460" w:lineRule="exact"/>
        <w:ind w:firstLine="420" w:firstLineChars="200"/>
        <w:rPr>
          <w:rFonts w:ascii="宋体" w:hAnsi="宋体"/>
          <w:strike/>
          <w:color w:val="auto"/>
        </w:rPr>
      </w:pPr>
      <w:r>
        <w:rPr>
          <w:rFonts w:hint="eastAsia" w:ascii="宋体" w:hAnsi="宋体"/>
          <w:color w:val="auto"/>
        </w:rPr>
        <w:t>除询比文件事先说明、且经甲方事先书面同意外，乙方不得分包、转包其应履行的合同义务。</w:t>
      </w:r>
    </w:p>
    <w:p>
      <w:pPr>
        <w:spacing w:line="460" w:lineRule="exact"/>
        <w:ind w:firstLine="420" w:firstLineChars="200"/>
        <w:outlineLvl w:val="0"/>
        <w:rPr>
          <w:rFonts w:ascii="宋体" w:hAnsi="宋体"/>
          <w:b/>
          <w:color w:val="auto"/>
        </w:rPr>
      </w:pPr>
      <w:bookmarkStart w:id="76" w:name="_Toc5782"/>
      <w:bookmarkStart w:id="77" w:name="_Toc85466150"/>
      <w:r>
        <w:rPr>
          <w:rFonts w:hint="eastAsia" w:ascii="宋体" w:hAnsi="宋体"/>
          <w:b/>
          <w:color w:val="auto"/>
        </w:rPr>
        <w:t>第十二条  合同的生效</w:t>
      </w:r>
      <w:bookmarkEnd w:id="76"/>
      <w:bookmarkEnd w:id="77"/>
    </w:p>
    <w:p>
      <w:pPr>
        <w:spacing w:line="460" w:lineRule="exact"/>
        <w:ind w:firstLine="420" w:firstLineChars="200"/>
        <w:rPr>
          <w:rFonts w:ascii="宋体" w:hAnsi="宋体"/>
          <w:color w:val="auto"/>
        </w:rPr>
      </w:pPr>
      <w:r>
        <w:rPr>
          <w:rFonts w:hint="eastAsia" w:ascii="宋体" w:hAnsi="宋体"/>
          <w:color w:val="auto"/>
        </w:rPr>
        <w:t>本合同经甲乙双方或授权代表签订并加盖公章或合同专用章后生效。</w:t>
      </w:r>
    </w:p>
    <w:p>
      <w:pPr>
        <w:spacing w:line="460" w:lineRule="exact"/>
        <w:ind w:firstLine="420" w:firstLineChars="200"/>
        <w:outlineLvl w:val="0"/>
        <w:rPr>
          <w:rFonts w:ascii="宋体" w:hAnsi="宋体"/>
          <w:b/>
          <w:color w:val="auto"/>
        </w:rPr>
      </w:pPr>
      <w:bookmarkStart w:id="78" w:name="_Toc25572"/>
      <w:bookmarkStart w:id="79" w:name="_Toc85466151"/>
      <w:r>
        <w:rPr>
          <w:rFonts w:hint="eastAsia" w:ascii="宋体" w:hAnsi="宋体"/>
          <w:b/>
          <w:color w:val="auto"/>
        </w:rPr>
        <w:t>第十三条  违约责任</w:t>
      </w:r>
      <w:bookmarkEnd w:id="78"/>
      <w:bookmarkEnd w:id="79"/>
    </w:p>
    <w:p>
      <w:pPr>
        <w:spacing w:line="460" w:lineRule="exact"/>
        <w:ind w:firstLine="420" w:firstLineChars="200"/>
        <w:rPr>
          <w:rFonts w:ascii="宋体" w:hAnsi="宋体"/>
          <w:color w:val="auto"/>
        </w:rPr>
      </w:pPr>
      <w:r>
        <w:rPr>
          <w:rFonts w:hint="eastAsia" w:ascii="宋体" w:hAnsi="宋体"/>
          <w:color w:val="auto"/>
        </w:rPr>
        <w:t>1.乙方所交付的货物不符合本合同设备技术参数规定的，甲方有权拒收，乙方在得到甲方通知之日起</w:t>
      </w:r>
      <w:r>
        <w:rPr>
          <w:rFonts w:hint="eastAsia" w:ascii="宋体" w:hAnsi="宋体"/>
          <w:color w:val="auto"/>
          <w:u w:val="single"/>
        </w:rPr>
        <w:t xml:space="preserve">2 </w:t>
      </w:r>
      <w:r>
        <w:rPr>
          <w:rFonts w:hint="eastAsia" w:ascii="宋体" w:hAnsi="宋体"/>
          <w:color w:val="auto"/>
        </w:rPr>
        <w:t>个工作日内采取补救措施，逾期仍未采取有效措施的，甲方有权要求乙方赔偿因此造成的损失，同时乙方应向甲方支付合同总价</w:t>
      </w:r>
      <w:r>
        <w:rPr>
          <w:rFonts w:hint="eastAsia" w:ascii="宋体" w:hAnsi="宋体"/>
          <w:color w:val="auto"/>
          <w:u w:val="single"/>
        </w:rPr>
        <w:t xml:space="preserve">  5   </w:t>
      </w:r>
      <w:r>
        <w:rPr>
          <w:rFonts w:hint="eastAsia" w:ascii="宋体" w:hAnsi="宋体"/>
          <w:color w:val="auto"/>
        </w:rPr>
        <w:t>％的违约金。</w:t>
      </w:r>
    </w:p>
    <w:p>
      <w:pPr>
        <w:spacing w:line="460" w:lineRule="exact"/>
        <w:ind w:firstLine="420" w:firstLineChars="200"/>
        <w:rPr>
          <w:rFonts w:ascii="宋体" w:hAnsi="宋体"/>
          <w:color w:val="auto"/>
        </w:rPr>
      </w:pPr>
      <w:r>
        <w:rPr>
          <w:rFonts w:hint="eastAsia" w:ascii="宋体" w:hAnsi="宋体"/>
          <w:color w:val="auto"/>
        </w:rPr>
        <w:t>2.乙方无正当理由逾期交付货物的，每逾期1天，乙方向甲方偿付逾期交货部分货款总额的</w:t>
      </w:r>
      <w:r>
        <w:rPr>
          <w:rFonts w:hint="eastAsia" w:ascii="宋体" w:hAnsi="宋体"/>
          <w:color w:val="auto"/>
          <w:u w:val="single"/>
        </w:rPr>
        <w:t xml:space="preserve"> 3 </w:t>
      </w:r>
      <w:r>
        <w:rPr>
          <w:rFonts w:hint="eastAsia" w:ascii="宋体" w:hAnsi="宋体"/>
          <w:color w:val="auto"/>
        </w:rPr>
        <w:t>‰的违约金。如乙方逾期交货达</w:t>
      </w:r>
      <w:r>
        <w:rPr>
          <w:rFonts w:hint="eastAsia" w:ascii="宋体" w:hAnsi="宋体"/>
          <w:color w:val="auto"/>
          <w:u w:val="single"/>
        </w:rPr>
        <w:t>15</w:t>
      </w:r>
      <w:r>
        <w:rPr>
          <w:rFonts w:hint="eastAsia" w:ascii="宋体" w:hAnsi="宋体"/>
          <w:color w:val="auto"/>
        </w:rPr>
        <w:t>天，甲方有权解除合同，甲方解除合同的通知自到达乙方时生效。在此情况下，乙方给甲方造成的实际损失高于违约金的，对高出违约金的部分乙方应予以赔偿。</w:t>
      </w:r>
    </w:p>
    <w:p>
      <w:pPr>
        <w:spacing w:line="460" w:lineRule="exact"/>
        <w:ind w:firstLine="420" w:firstLineChars="200"/>
        <w:rPr>
          <w:rFonts w:ascii="宋体" w:hAnsi="宋体"/>
          <w:color w:val="auto"/>
        </w:rPr>
      </w:pPr>
      <w:r>
        <w:rPr>
          <w:rFonts w:hint="eastAsia" w:ascii="宋体" w:hAnsi="宋体"/>
          <w:color w:val="auto"/>
        </w:rPr>
        <w:t>3.如因乙方原因未能按本合同第十条中第4条规定的约定时间响应的，每次罚款2000元。</w:t>
      </w:r>
    </w:p>
    <w:p>
      <w:pPr>
        <w:spacing w:line="460" w:lineRule="exact"/>
        <w:ind w:firstLine="420" w:firstLineChars="200"/>
        <w:rPr>
          <w:rFonts w:ascii="宋体" w:hAnsi="宋体"/>
          <w:color w:val="auto"/>
        </w:rPr>
      </w:pPr>
      <w:r>
        <w:rPr>
          <w:rFonts w:hint="eastAsia" w:ascii="宋体" w:hAnsi="宋体"/>
          <w:color w:val="auto"/>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460" w:lineRule="exact"/>
        <w:ind w:firstLine="420" w:firstLineChars="200"/>
        <w:rPr>
          <w:rFonts w:ascii="宋体" w:hAnsi="宋体"/>
          <w:color w:val="auto"/>
        </w:rPr>
      </w:pPr>
      <w:r>
        <w:rPr>
          <w:rFonts w:hint="eastAsia" w:ascii="宋体" w:hAnsi="宋体"/>
          <w:color w:val="auto"/>
        </w:rPr>
        <w:t>5、因乙方原因导致违约、本合同无法履行等情形造成甲方损失的，乙方除承担违约责任外还应支付甲方一切相关费用，包括但不限于诉讼费、保全费、鉴定费、律师费、交通费。</w:t>
      </w:r>
    </w:p>
    <w:p>
      <w:pPr>
        <w:spacing w:line="460" w:lineRule="exact"/>
        <w:ind w:firstLine="420" w:firstLineChars="200"/>
        <w:rPr>
          <w:rFonts w:ascii="宋体" w:hAnsi="宋体"/>
          <w:color w:val="auto"/>
        </w:rPr>
      </w:pPr>
      <w:r>
        <w:rPr>
          <w:rFonts w:hint="eastAsia" w:ascii="宋体" w:hAnsi="宋体"/>
          <w:color w:val="auto"/>
        </w:rPr>
        <w:t>6.其它未尽事宜，以《民法典》等有关法律法规规定为准，无相关规定的，双方协商解决。</w:t>
      </w:r>
    </w:p>
    <w:p>
      <w:pPr>
        <w:spacing w:line="460" w:lineRule="exact"/>
        <w:ind w:left="482"/>
        <w:outlineLvl w:val="0"/>
        <w:rPr>
          <w:rFonts w:ascii="宋体" w:hAnsi="宋体"/>
          <w:b/>
          <w:color w:val="auto"/>
        </w:rPr>
      </w:pPr>
      <w:bookmarkStart w:id="80" w:name="_Toc85466152"/>
      <w:bookmarkStart w:id="81" w:name="_Toc2471"/>
      <w:r>
        <w:rPr>
          <w:rFonts w:hint="eastAsia" w:ascii="宋体" w:hAnsi="宋体"/>
          <w:b/>
          <w:color w:val="auto"/>
        </w:rPr>
        <w:t>第十四条  不可抗力</w:t>
      </w:r>
      <w:bookmarkEnd w:id="80"/>
      <w:bookmarkEnd w:id="81"/>
    </w:p>
    <w:p>
      <w:pPr>
        <w:spacing w:line="460" w:lineRule="exact"/>
        <w:ind w:firstLine="420" w:firstLineChars="200"/>
        <w:rPr>
          <w:rFonts w:ascii="宋体" w:hAnsi="宋体"/>
          <w:color w:val="auto"/>
        </w:rPr>
      </w:pPr>
      <w:r>
        <w:rPr>
          <w:rFonts w:hint="eastAsia" w:ascii="宋体" w:hAnsi="宋体"/>
          <w:color w:val="auto"/>
        </w:rPr>
        <w:t>甲、乙方中任何一方，因不可抗力不能按时或完全履行合同的，应及时通知对方，并在</w:t>
      </w:r>
      <w:r>
        <w:rPr>
          <w:rFonts w:hint="eastAsia" w:ascii="宋体" w:hAnsi="宋体"/>
          <w:color w:val="auto"/>
          <w:u w:val="single"/>
        </w:rPr>
        <w:t xml:space="preserve"> 7 </w:t>
      </w:r>
      <w:r>
        <w:rPr>
          <w:rFonts w:hint="eastAsia" w:ascii="宋体" w:hAnsi="宋体"/>
          <w:color w:val="auto"/>
        </w:rPr>
        <w:t>天内提供相应证明。未履行完合同部分是否继续履行、如何履行等问题，可由双方初步协商，并向主管部门报告。确定为不可抗力原因造成的损失，免予承担责任。</w:t>
      </w:r>
    </w:p>
    <w:p>
      <w:pPr>
        <w:spacing w:line="460" w:lineRule="exact"/>
        <w:ind w:left="482"/>
        <w:outlineLvl w:val="0"/>
        <w:rPr>
          <w:rFonts w:ascii="宋体" w:hAnsi="宋体"/>
          <w:b/>
          <w:color w:val="auto"/>
        </w:rPr>
      </w:pPr>
      <w:bookmarkStart w:id="82" w:name="_Toc85466153"/>
      <w:bookmarkStart w:id="83" w:name="_Toc9355"/>
      <w:r>
        <w:rPr>
          <w:rFonts w:hint="eastAsia" w:ascii="宋体" w:hAnsi="宋体"/>
          <w:b/>
          <w:color w:val="auto"/>
        </w:rPr>
        <w:t>第十五条  争议的解决方式</w:t>
      </w:r>
      <w:bookmarkEnd w:id="82"/>
      <w:bookmarkEnd w:id="83"/>
    </w:p>
    <w:p>
      <w:pPr>
        <w:spacing w:line="460" w:lineRule="exact"/>
        <w:ind w:firstLine="420" w:firstLineChars="200"/>
        <w:rPr>
          <w:rFonts w:ascii="宋体" w:hAnsi="宋体"/>
          <w:color w:val="auto"/>
        </w:rPr>
      </w:pPr>
      <w:r>
        <w:rPr>
          <w:rFonts w:hint="eastAsia" w:ascii="宋体" w:hAnsi="宋体"/>
          <w:color w:val="auto"/>
        </w:rPr>
        <w:t>1.因货物的质量问题发生争议的，应当邀请国家认可的质量检测机构对货物质量进行鉴定。货物符合标准的，鉴定费由甲方承担；货物不符合质量标准的，鉴定费由乙方承担。</w:t>
      </w:r>
    </w:p>
    <w:p>
      <w:pPr>
        <w:spacing w:line="460" w:lineRule="exact"/>
        <w:ind w:firstLine="420" w:firstLineChars="200"/>
        <w:rPr>
          <w:rFonts w:ascii="宋体" w:hAnsi="宋体"/>
          <w:color w:val="auto"/>
        </w:rPr>
      </w:pPr>
      <w:r>
        <w:rPr>
          <w:rFonts w:hint="eastAsia" w:ascii="宋体" w:hAnsi="宋体"/>
          <w:color w:val="auto"/>
        </w:rPr>
        <w:t>2.在解释或者执行本合同的过程中发生争议时，双方应通过协商方式解决。</w:t>
      </w:r>
    </w:p>
    <w:p>
      <w:pPr>
        <w:spacing w:line="460" w:lineRule="exact"/>
        <w:ind w:firstLine="420" w:firstLineChars="200"/>
        <w:rPr>
          <w:rFonts w:ascii="宋体" w:hAnsi="宋体"/>
          <w:color w:val="auto"/>
        </w:rPr>
      </w:pPr>
      <w:r>
        <w:rPr>
          <w:rFonts w:hint="eastAsia" w:ascii="宋体" w:hAnsi="宋体"/>
          <w:color w:val="auto"/>
        </w:rPr>
        <w:t>3.经协商不能解决的争议，双方可选择以下第</w:t>
      </w:r>
      <w:r>
        <w:rPr>
          <w:rFonts w:hint="eastAsia" w:ascii="宋体" w:hAnsi="宋体"/>
          <w:color w:val="auto"/>
          <w:u w:val="single"/>
        </w:rPr>
        <w:t xml:space="preserve"> 1 </w:t>
      </w:r>
      <w:r>
        <w:rPr>
          <w:rFonts w:hint="eastAsia" w:ascii="宋体" w:hAnsi="宋体"/>
          <w:color w:val="auto"/>
        </w:rPr>
        <w:t>种方式解决：</w:t>
      </w:r>
    </w:p>
    <w:p>
      <w:pPr>
        <w:spacing w:line="460" w:lineRule="exact"/>
        <w:ind w:firstLine="420" w:firstLineChars="200"/>
        <w:rPr>
          <w:rFonts w:ascii="宋体" w:hAnsi="宋体"/>
          <w:color w:val="auto"/>
        </w:rPr>
      </w:pPr>
      <w:r>
        <w:rPr>
          <w:rFonts w:hint="eastAsia" w:ascii="宋体" w:hAnsi="宋体"/>
          <w:color w:val="auto"/>
        </w:rPr>
        <w:t>①向</w:t>
      </w:r>
      <w:r>
        <w:rPr>
          <w:rFonts w:hint="eastAsia" w:ascii="宋体" w:hAnsi="宋体"/>
          <w:color w:val="auto"/>
          <w:u w:val="single"/>
        </w:rPr>
        <w:t xml:space="preserve">  甲方住所地  </w:t>
      </w:r>
      <w:r>
        <w:rPr>
          <w:rFonts w:hint="eastAsia" w:ascii="宋体" w:hAnsi="宋体"/>
          <w:color w:val="auto"/>
        </w:rPr>
        <w:t>有管辖权的法院提起诉讼；</w:t>
      </w:r>
    </w:p>
    <w:p>
      <w:pPr>
        <w:spacing w:line="460" w:lineRule="exact"/>
        <w:ind w:firstLine="420" w:firstLineChars="200"/>
        <w:rPr>
          <w:rFonts w:ascii="宋体" w:hAnsi="宋体"/>
          <w:color w:val="auto"/>
        </w:rPr>
      </w:pPr>
      <w:r>
        <w:rPr>
          <w:rFonts w:hint="eastAsia" w:ascii="宋体" w:hAnsi="宋体"/>
          <w:color w:val="auto"/>
        </w:rPr>
        <w:t>②向</w:t>
      </w:r>
      <w:r>
        <w:rPr>
          <w:rFonts w:hint="eastAsia" w:ascii="宋体" w:hAnsi="宋体"/>
          <w:color w:val="auto"/>
          <w:u w:val="single"/>
        </w:rPr>
        <w:t xml:space="preserve">  / </w:t>
      </w:r>
      <w:r>
        <w:rPr>
          <w:rFonts w:hint="eastAsia" w:ascii="宋体" w:hAnsi="宋体"/>
          <w:color w:val="auto"/>
        </w:rPr>
        <w:t>仲裁委员会提出仲裁。</w:t>
      </w:r>
    </w:p>
    <w:p>
      <w:pPr>
        <w:spacing w:line="460" w:lineRule="exact"/>
        <w:ind w:firstLine="420" w:firstLineChars="200"/>
        <w:rPr>
          <w:rFonts w:ascii="宋体" w:hAnsi="宋体"/>
          <w:color w:val="auto"/>
        </w:rPr>
      </w:pPr>
      <w:r>
        <w:rPr>
          <w:rFonts w:hint="eastAsia" w:ascii="宋体" w:hAnsi="宋体"/>
          <w:color w:val="auto"/>
        </w:rPr>
        <w:t>4.在法院审理和仲裁期间，除有争议部分外，本合同其他部分可以履行的仍应按合同条款继续履行。</w:t>
      </w:r>
    </w:p>
    <w:p>
      <w:pPr>
        <w:spacing w:line="460" w:lineRule="exact"/>
        <w:ind w:left="482"/>
        <w:outlineLvl w:val="0"/>
        <w:rPr>
          <w:rFonts w:ascii="宋体" w:hAnsi="宋体"/>
          <w:b/>
          <w:color w:val="auto"/>
        </w:rPr>
      </w:pPr>
      <w:bookmarkStart w:id="84" w:name="_Toc20423"/>
      <w:bookmarkStart w:id="85" w:name="_Toc85466154"/>
      <w:r>
        <w:rPr>
          <w:rFonts w:hint="eastAsia" w:ascii="宋体" w:hAnsi="宋体"/>
          <w:b/>
          <w:color w:val="auto"/>
        </w:rPr>
        <w:t>第十六条  其他</w:t>
      </w:r>
      <w:bookmarkEnd w:id="84"/>
      <w:bookmarkEnd w:id="85"/>
    </w:p>
    <w:p>
      <w:pPr>
        <w:spacing w:line="460" w:lineRule="exact"/>
        <w:ind w:firstLine="420" w:firstLineChars="200"/>
        <w:rPr>
          <w:rFonts w:ascii="宋体" w:hAnsi="宋体"/>
          <w:color w:val="auto"/>
        </w:rPr>
      </w:pPr>
      <w:r>
        <w:rPr>
          <w:rFonts w:hint="eastAsia" w:ascii="宋体" w:hAnsi="宋体"/>
          <w:color w:val="auto"/>
        </w:rPr>
        <w:t>本合同在执行期间，如有未尽事宜，由甲乙双方协商，可签订补充合同，所签订的补充合同与本合同具有同等法律效力。</w:t>
      </w:r>
    </w:p>
    <w:p>
      <w:pPr>
        <w:spacing w:line="460" w:lineRule="exact"/>
        <w:ind w:firstLine="420" w:firstLineChars="200"/>
        <w:rPr>
          <w:rFonts w:ascii="宋体" w:hAnsi="宋体"/>
          <w:color w:val="auto"/>
        </w:rPr>
      </w:pPr>
      <w:r>
        <w:rPr>
          <w:rFonts w:hint="eastAsia" w:ascii="宋体" w:hAnsi="宋体"/>
          <w:color w:val="auto"/>
        </w:rPr>
        <w:t>本合同一式</w:t>
      </w:r>
      <w:r>
        <w:rPr>
          <w:rFonts w:hint="eastAsia" w:ascii="宋体" w:hAnsi="宋体"/>
          <w:color w:val="auto"/>
          <w:u w:val="single"/>
        </w:rPr>
        <w:t xml:space="preserve">   捌  </w:t>
      </w:r>
      <w:r>
        <w:rPr>
          <w:rFonts w:hint="eastAsia" w:ascii="宋体" w:hAnsi="宋体"/>
          <w:color w:val="auto"/>
        </w:rPr>
        <w:t>份，甲、乙双方各执</w:t>
      </w:r>
      <w:r>
        <w:rPr>
          <w:rFonts w:hint="eastAsia" w:ascii="宋体" w:hAnsi="宋体"/>
          <w:color w:val="auto"/>
          <w:u w:val="single"/>
        </w:rPr>
        <w:t xml:space="preserve">  肆  </w:t>
      </w:r>
      <w:r>
        <w:rPr>
          <w:rFonts w:hint="eastAsia" w:ascii="宋体" w:hAnsi="宋体"/>
          <w:color w:val="auto"/>
        </w:rPr>
        <w:t>份。</w:t>
      </w:r>
    </w:p>
    <w:p>
      <w:pPr>
        <w:pStyle w:val="51"/>
        <w:rPr>
          <w:rFonts w:hAnsi="宋体"/>
          <w:color w:val="auto"/>
        </w:rPr>
      </w:pPr>
      <w:r>
        <w:rPr>
          <w:rFonts w:hint="eastAsia" w:hAnsi="宋体"/>
          <w:color w:val="auto"/>
        </w:rPr>
        <w:t xml:space="preserve">    </w:t>
      </w:r>
    </w:p>
    <w:p>
      <w:pPr>
        <w:spacing w:line="460" w:lineRule="exact"/>
        <w:ind w:firstLine="420" w:firstLineChars="200"/>
        <w:rPr>
          <w:rFonts w:ascii="宋体" w:hAnsi="宋体"/>
          <w:color w:val="auto"/>
        </w:rPr>
      </w:pPr>
    </w:p>
    <w:p>
      <w:pPr>
        <w:spacing w:line="460" w:lineRule="exact"/>
        <w:ind w:firstLine="420" w:firstLineChars="200"/>
        <w:rPr>
          <w:rFonts w:ascii="宋体" w:hAnsi="宋体"/>
          <w:color w:val="auto"/>
        </w:rPr>
      </w:pPr>
      <w:r>
        <w:rPr>
          <w:rFonts w:hint="eastAsia" w:ascii="宋体" w:hAnsi="宋体"/>
          <w:color w:val="auto"/>
        </w:rPr>
        <w:t>附件：《供货明细一览表》</w:t>
      </w:r>
    </w:p>
    <w:p>
      <w:pPr>
        <w:spacing w:line="460" w:lineRule="exact"/>
        <w:ind w:firstLine="420" w:firstLineChars="200"/>
        <w:rPr>
          <w:rFonts w:ascii="宋体" w:hAnsi="宋体"/>
          <w:color w:val="auto"/>
        </w:rPr>
      </w:pPr>
    </w:p>
    <w:p>
      <w:pPr>
        <w:spacing w:line="460" w:lineRule="exact"/>
        <w:ind w:firstLine="420" w:firstLineChars="200"/>
        <w:rPr>
          <w:rFonts w:ascii="宋体" w:hAnsi="宋体"/>
          <w:color w:val="auto"/>
        </w:rPr>
      </w:pPr>
    </w:p>
    <w:p>
      <w:pPr>
        <w:spacing w:line="460" w:lineRule="exact"/>
        <w:ind w:firstLine="420" w:firstLineChars="200"/>
        <w:rPr>
          <w:rFonts w:ascii="宋体" w:hAnsi="宋体"/>
          <w:color w:val="auto"/>
        </w:rPr>
      </w:pPr>
      <w:r>
        <w:rPr>
          <w:rFonts w:hint="eastAsia" w:ascii="宋体" w:hAnsi="宋体"/>
          <w:color w:val="auto"/>
        </w:rPr>
        <w:t>（以下无正文）</w:t>
      </w:r>
    </w:p>
    <w:p>
      <w:pPr>
        <w:rPr>
          <w:rFonts w:ascii="宋体" w:hAnsi="宋体"/>
          <w:color w:val="auto"/>
        </w:rPr>
      </w:pPr>
      <w:r>
        <w:rPr>
          <w:rFonts w:hint="eastAsia" w:ascii="宋体" w:hAnsi="宋体"/>
          <w:color w:val="auto"/>
        </w:rPr>
        <w:br w:type="page"/>
      </w:r>
    </w:p>
    <w:p>
      <w:pPr>
        <w:spacing w:line="460" w:lineRule="exact"/>
        <w:ind w:firstLine="420" w:firstLineChars="200"/>
        <w:rPr>
          <w:rFonts w:ascii="宋体" w:hAnsi="宋体"/>
          <w:color w:val="auto"/>
        </w:rPr>
      </w:pPr>
      <w:r>
        <w:rPr>
          <w:rFonts w:hint="eastAsia" w:ascii="宋体" w:hAnsi="宋体"/>
          <w:color w:val="auto"/>
        </w:rPr>
        <w:t>签署页：</w:t>
      </w:r>
    </w:p>
    <w:tbl>
      <w:tblPr>
        <w:tblStyle w:val="33"/>
        <w:tblpPr w:leftFromText="180" w:rightFromText="180" w:vertAnchor="text" w:horzAnchor="page" w:tblpX="1468" w:tblpY="1665"/>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spacing w:line="360" w:lineRule="auto"/>
              <w:rPr>
                <w:rFonts w:ascii="宋体" w:hAnsi="宋体" w:cs="宋体"/>
                <w:color w:val="auto"/>
                <w:u w:val="single"/>
              </w:rPr>
            </w:pPr>
            <w:r>
              <w:rPr>
                <w:rFonts w:hint="eastAsia" w:ascii="宋体" w:hAnsi="宋体" w:cs="宋体"/>
                <w:color w:val="auto"/>
              </w:rPr>
              <w:t xml:space="preserve">甲方：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u w:val="single"/>
              </w:rPr>
            </w:pPr>
            <w:r>
              <w:rPr>
                <w:rFonts w:hint="eastAsia" w:ascii="宋体" w:hAnsi="宋体" w:cs="宋体"/>
                <w:color w:val="auto"/>
              </w:rPr>
              <w:t xml:space="preserve">  </w:t>
            </w: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 xml:space="preserve">统一社会信用代码： </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tc>
        <w:tc>
          <w:tcPr>
            <w:tcW w:w="4302" w:type="dxa"/>
          </w:tcPr>
          <w:p>
            <w:pPr>
              <w:spacing w:line="360" w:lineRule="auto"/>
              <w:rPr>
                <w:rFonts w:ascii="宋体" w:hAnsi="宋体" w:cs="宋体"/>
                <w:color w:val="auto"/>
                <w:u w:val="single"/>
              </w:rPr>
            </w:pPr>
            <w:r>
              <w:rPr>
                <w:rFonts w:hint="eastAsia" w:ascii="宋体" w:hAnsi="宋体" w:cs="宋体"/>
                <w:color w:val="auto"/>
              </w:rPr>
              <w:t xml:space="preserve">乙方：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rPr>
            </w:pPr>
          </w:p>
          <w:p>
            <w:pPr>
              <w:spacing w:line="360" w:lineRule="auto"/>
              <w:rPr>
                <w:rFonts w:ascii="宋体" w:hAnsi="宋体" w:cs="宋体"/>
                <w:color w:val="auto"/>
                <w:highlight w:val="yellow"/>
              </w:rPr>
            </w:pPr>
          </w:p>
          <w:p>
            <w:pPr>
              <w:spacing w:line="360" w:lineRule="auto"/>
              <w:rPr>
                <w:rFonts w:ascii="宋体" w:hAnsi="宋体" w:cs="宋体"/>
                <w:color w:val="auto"/>
              </w:rPr>
            </w:pPr>
            <w:r>
              <w:rPr>
                <w:rFonts w:hint="eastAsia" w:ascii="宋体" w:hAnsi="宋体" w:cs="宋体"/>
                <w:color w:val="auto"/>
              </w:rPr>
              <w:t>统一社会信用代码：</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p>
            <w:pPr>
              <w:spacing w:line="360" w:lineRule="auto"/>
              <w:rPr>
                <w:rFonts w:ascii="宋体" w:hAnsi="宋体" w:cs="宋体"/>
                <w:color w:val="auto"/>
              </w:rPr>
            </w:pPr>
          </w:p>
        </w:tc>
      </w:tr>
    </w:tbl>
    <w:p>
      <w:pPr>
        <w:spacing w:after="156" w:afterLines="50"/>
        <w:jc w:val="center"/>
        <w:rPr>
          <w:rFonts w:ascii="宋体" w:hAnsi="宋体" w:cs="宋体"/>
          <w:b/>
          <w:color w:val="auto"/>
          <w:sz w:val="32"/>
          <w:szCs w:val="32"/>
        </w:rPr>
      </w:pPr>
    </w:p>
    <w:p>
      <w:pPr>
        <w:pStyle w:val="51"/>
        <w:rPr>
          <w:rFonts w:hAnsi="宋体"/>
          <w:color w:val="auto"/>
        </w:rPr>
        <w:sectPr>
          <w:headerReference r:id="rId6" w:type="default"/>
          <w:footerReference r:id="rId7" w:type="default"/>
          <w:pgSz w:w="11906" w:h="16838"/>
          <w:pgMar w:top="1400" w:right="1287" w:bottom="1247" w:left="1418" w:header="851" w:footer="992" w:gutter="0"/>
          <w:cols w:space="720" w:num="1"/>
          <w:titlePg/>
          <w:docGrid w:type="linesAndChars" w:linePitch="312" w:charSpace="0"/>
        </w:sectPr>
      </w:pPr>
    </w:p>
    <w:p>
      <w:pPr>
        <w:spacing w:after="156" w:afterLines="50"/>
        <w:rPr>
          <w:rFonts w:ascii="宋体" w:hAnsi="宋体" w:cs="宋体"/>
          <w:b/>
          <w:color w:val="auto"/>
          <w:sz w:val="32"/>
          <w:szCs w:val="32"/>
        </w:rPr>
      </w:pPr>
      <w:r>
        <w:rPr>
          <w:rFonts w:hint="eastAsia" w:ascii="宋体" w:hAnsi="宋体" w:cs="宋体"/>
          <w:b/>
          <w:color w:val="auto"/>
          <w:sz w:val="32"/>
          <w:szCs w:val="32"/>
        </w:rPr>
        <w:t>附件1</w:t>
      </w:r>
      <w:r>
        <w:rPr>
          <w:rFonts w:ascii="宋体" w:hAnsi="宋体" w:cs="宋体"/>
          <w:b/>
          <w:color w:val="auto"/>
          <w:sz w:val="32"/>
          <w:szCs w:val="32"/>
        </w:rPr>
        <w:t xml:space="preserve">           </w:t>
      </w:r>
    </w:p>
    <w:p>
      <w:pPr>
        <w:spacing w:after="156" w:afterLines="50"/>
        <w:jc w:val="center"/>
        <w:rPr>
          <w:rFonts w:ascii="宋体" w:hAnsi="宋体" w:cs="宋体"/>
          <w:b/>
          <w:color w:val="auto"/>
          <w:sz w:val="32"/>
          <w:szCs w:val="32"/>
        </w:rPr>
      </w:pPr>
      <w:r>
        <w:rPr>
          <w:rFonts w:hint="eastAsia" w:ascii="宋体" w:hAnsi="宋体" w:cs="宋体"/>
          <w:b/>
          <w:color w:val="auto"/>
          <w:sz w:val="32"/>
          <w:szCs w:val="32"/>
        </w:rPr>
        <w:t>《供货明细一览表》</w:t>
      </w:r>
    </w:p>
    <w:tbl>
      <w:tblPr>
        <w:tblStyle w:val="33"/>
        <w:tblpPr w:leftFromText="180" w:rightFromText="180" w:vertAnchor="text" w:horzAnchor="page" w:tblpX="1481" w:tblpY="133"/>
        <w:tblOverlap w:val="never"/>
        <w:tblW w:w="4998" w:type="pct"/>
        <w:tblInd w:w="0" w:type="dxa"/>
        <w:tblLayout w:type="autofit"/>
        <w:tblCellMar>
          <w:top w:w="0" w:type="dxa"/>
          <w:left w:w="108" w:type="dxa"/>
          <w:bottom w:w="0" w:type="dxa"/>
          <w:right w:w="108" w:type="dxa"/>
        </w:tblCellMar>
      </w:tblPr>
      <w:tblGrid>
        <w:gridCol w:w="842"/>
        <w:gridCol w:w="2759"/>
        <w:gridCol w:w="634"/>
        <w:gridCol w:w="496"/>
        <w:gridCol w:w="1822"/>
        <w:gridCol w:w="1966"/>
      </w:tblGrid>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序号</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设备名称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数量</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安装摄像机所需的各种配件</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rPr>
              <w:t>调测服务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27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合计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bl>
    <w:p>
      <w:pPr>
        <w:widowControl/>
        <w:jc w:val="left"/>
        <w:textAlignment w:val="center"/>
        <w:rPr>
          <w:rFonts w:ascii="宋体" w:hAnsi="宋体" w:cs="宋体"/>
          <w:color w:val="auto"/>
          <w:szCs w:val="21"/>
        </w:rPr>
      </w:pPr>
    </w:p>
    <w:p>
      <w:pPr>
        <w:widowControl/>
        <w:jc w:val="left"/>
        <w:textAlignment w:val="center"/>
        <w:rPr>
          <w:rFonts w:ascii="宋体" w:hAnsi="宋体" w:cs="宋体"/>
          <w:color w:val="auto"/>
          <w:szCs w:val="21"/>
        </w:rPr>
      </w:pPr>
    </w:p>
    <w:p>
      <w:pPr>
        <w:widowControl/>
        <w:jc w:val="left"/>
        <w:textAlignment w:val="center"/>
        <w:rPr>
          <w:rFonts w:ascii="宋体" w:hAnsi="宋体" w:cs="宋体"/>
          <w:color w:val="auto"/>
          <w:szCs w:val="21"/>
        </w:rPr>
      </w:pPr>
      <w:r>
        <w:rPr>
          <w:rFonts w:hint="eastAsia" w:ascii="宋体" w:hAnsi="宋体" w:cs="宋体"/>
          <w:color w:val="auto"/>
          <w:szCs w:val="21"/>
        </w:rPr>
        <w:t>附：甲方有权对成交供应商所有产品进行技术指标验证，若与要求技术指标不符，甲方有权依法追究供应商法律及违约责任。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2"/>
        <w:spacing w:before="120" w:after="120" w:line="400" w:lineRule="exact"/>
        <w:rPr>
          <w:rFonts w:ascii="宋体" w:hAnsi="宋体"/>
          <w:bCs w:val="0"/>
          <w:color w:val="auto"/>
          <w:sz w:val="32"/>
          <w:szCs w:val="32"/>
        </w:rPr>
      </w:pPr>
      <w:bookmarkStart w:id="86" w:name="_Toc30474"/>
      <w:bookmarkStart w:id="87" w:name="_Toc6763"/>
      <w:bookmarkStart w:id="88" w:name="_Toc5305"/>
    </w:p>
    <w:p>
      <w:pPr>
        <w:rPr>
          <w:rFonts w:ascii="宋体" w:hAnsi="宋体"/>
          <w:color w:val="auto"/>
          <w:sz w:val="32"/>
          <w:szCs w:val="32"/>
        </w:rPr>
      </w:pPr>
    </w:p>
    <w:p>
      <w:pPr>
        <w:pStyle w:val="32"/>
        <w:ind w:firstLine="640"/>
        <w:rPr>
          <w:rFonts w:ascii="宋体" w:hAnsi="宋体" w:eastAsia="宋体"/>
          <w:color w:val="auto"/>
          <w:sz w:val="32"/>
          <w:szCs w:val="32"/>
        </w:rPr>
      </w:pPr>
    </w:p>
    <w:p>
      <w:pPr>
        <w:rPr>
          <w:rFonts w:ascii="宋体" w:hAnsi="宋体"/>
          <w:color w:val="auto"/>
          <w:sz w:val="32"/>
          <w:szCs w:val="32"/>
        </w:rPr>
      </w:pPr>
    </w:p>
    <w:p>
      <w:pPr>
        <w:pStyle w:val="32"/>
        <w:ind w:firstLine="640"/>
        <w:rPr>
          <w:rFonts w:ascii="宋体" w:hAnsi="宋体" w:eastAsia="宋体"/>
          <w:color w:val="auto"/>
          <w:sz w:val="32"/>
          <w:szCs w:val="32"/>
        </w:rPr>
      </w:pPr>
    </w:p>
    <w:p>
      <w:pPr>
        <w:rPr>
          <w:rFonts w:ascii="宋体" w:hAnsi="宋体"/>
          <w:color w:val="auto"/>
          <w:sz w:val="32"/>
          <w:szCs w:val="32"/>
        </w:rPr>
      </w:pPr>
    </w:p>
    <w:p>
      <w:pPr>
        <w:pStyle w:val="32"/>
        <w:rPr>
          <w:color w:val="auto"/>
        </w:rPr>
      </w:pPr>
    </w:p>
    <w:p>
      <w:pPr>
        <w:rPr>
          <w:color w:val="auto"/>
        </w:rPr>
      </w:pPr>
    </w:p>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第五章 响应文件格式</w:t>
      </w:r>
      <w:bookmarkEnd w:id="14"/>
      <w:bookmarkEnd w:id="86"/>
      <w:bookmarkEnd w:id="87"/>
      <w:bookmarkEnd w:id="88"/>
    </w:p>
    <w:p>
      <w:pPr>
        <w:spacing w:line="440" w:lineRule="exact"/>
        <w:jc w:val="right"/>
        <w:rPr>
          <w:rFonts w:ascii="宋体" w:hAnsi="宋体"/>
          <w:color w:val="auto"/>
          <w:sz w:val="32"/>
          <w:szCs w:val="32"/>
        </w:rPr>
      </w:pPr>
    </w:p>
    <w:p>
      <w:pPr>
        <w:rPr>
          <w:rFonts w:ascii="宋体" w:hAnsi="宋体"/>
          <w:color w:val="auto"/>
          <w:sz w:val="20"/>
          <w:szCs w:val="20"/>
        </w:rPr>
      </w:pPr>
    </w:p>
    <w:p>
      <w:pPr>
        <w:rPr>
          <w:rFonts w:ascii="宋体" w:hAnsi="宋体"/>
          <w:color w:val="auto"/>
          <w:sz w:val="20"/>
          <w:szCs w:val="20"/>
        </w:rPr>
      </w:pPr>
    </w:p>
    <w:p>
      <w:pPr>
        <w:jc w:val="center"/>
        <w:rPr>
          <w:rFonts w:hint="eastAsia" w:ascii="宋体" w:hAnsi="宋体" w:eastAsia="宋体"/>
          <w:b/>
          <w:color w:val="auto"/>
          <w:sz w:val="44"/>
          <w:szCs w:val="44"/>
          <w:lang w:eastAsia="zh-CN"/>
        </w:rPr>
      </w:pPr>
      <w:r>
        <w:rPr>
          <w:rFonts w:hint="eastAsia" w:ascii="宋体" w:hAnsi="宋体"/>
          <w:b/>
          <w:color w:val="auto"/>
          <w:sz w:val="44"/>
          <w:szCs w:val="44"/>
          <w:lang w:eastAsia="zh-CN"/>
        </w:rPr>
        <w:t>郑州航空港兴港电力有限公司开闭所视频监控系统采购项目（二次）</w:t>
      </w:r>
    </w:p>
    <w:p>
      <w:pPr>
        <w:rPr>
          <w:color w:val="auto"/>
        </w:rPr>
      </w:pPr>
    </w:p>
    <w:p>
      <w:pPr>
        <w:jc w:val="center"/>
        <w:rPr>
          <w:rFonts w:ascii="宋体" w:hAnsi="宋体"/>
          <w:bCs/>
          <w:color w:val="auto"/>
          <w:sz w:val="72"/>
          <w:szCs w:val="72"/>
        </w:rPr>
      </w:pPr>
    </w:p>
    <w:p>
      <w:pPr>
        <w:jc w:val="center"/>
        <w:rPr>
          <w:rFonts w:ascii="宋体" w:hAnsi="宋体"/>
          <w:bCs/>
          <w:color w:val="auto"/>
          <w:sz w:val="72"/>
          <w:szCs w:val="72"/>
        </w:rPr>
      </w:pPr>
      <w:r>
        <w:rPr>
          <w:rFonts w:hint="eastAsia" w:ascii="宋体" w:hAnsi="宋体"/>
          <w:bCs/>
          <w:color w:val="auto"/>
          <w:sz w:val="72"/>
          <w:szCs w:val="72"/>
        </w:rPr>
        <w:t>响应文件</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jc w:val="center"/>
        <w:rPr>
          <w:rFonts w:ascii="宋体" w:hAnsi="宋体"/>
          <w:color w:val="auto"/>
          <w:sz w:val="28"/>
          <w:szCs w:val="28"/>
          <w:u w:val="single"/>
        </w:rPr>
      </w:pPr>
      <w:r>
        <w:rPr>
          <w:rFonts w:hint="eastAsia" w:ascii="宋体" w:hAnsi="宋体"/>
          <w:color w:val="auto"/>
          <w:sz w:val="28"/>
          <w:szCs w:val="28"/>
        </w:rPr>
        <w:t>响应单位：</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jc w:val="center"/>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540" w:lineRule="exact"/>
        <w:jc w:val="center"/>
        <w:rPr>
          <w:rFonts w:ascii="宋体" w:hAnsi="宋体"/>
          <w:b/>
          <w:color w:val="auto"/>
          <w:sz w:val="24"/>
        </w:rPr>
      </w:pPr>
      <w:r>
        <w:rPr>
          <w:rFonts w:hint="eastAsia" w:ascii="宋体" w:hAnsi="宋体"/>
          <w:color w:val="auto"/>
          <w:sz w:val="24"/>
        </w:rPr>
        <w:br w:type="page"/>
      </w:r>
      <w:r>
        <w:rPr>
          <w:rFonts w:hint="eastAsia" w:ascii="宋体" w:hAnsi="宋体"/>
          <w:b/>
          <w:color w:val="auto"/>
          <w:sz w:val="24"/>
        </w:rPr>
        <w:t>目   录</w:t>
      </w:r>
    </w:p>
    <w:p>
      <w:pPr>
        <w:jc w:val="center"/>
        <w:rPr>
          <w:rFonts w:ascii="宋体" w:hAnsi="宋体"/>
          <w:b/>
          <w:color w:val="auto"/>
          <w:sz w:val="28"/>
          <w:szCs w:val="28"/>
        </w:rPr>
      </w:pPr>
    </w:p>
    <w:p>
      <w:pPr>
        <w:spacing w:line="360" w:lineRule="auto"/>
        <w:ind w:firstLine="420" w:firstLineChars="200"/>
        <w:rPr>
          <w:rFonts w:ascii="宋体" w:hAnsi="宋体"/>
          <w:color w:val="auto"/>
          <w:szCs w:val="21"/>
        </w:rPr>
      </w:pPr>
      <w:r>
        <w:rPr>
          <w:rFonts w:hint="eastAsia" w:ascii="宋体" w:hAnsi="宋体"/>
          <w:color w:val="auto"/>
          <w:szCs w:val="21"/>
        </w:rPr>
        <w:t>一、报价响应函及响应函附录</w:t>
      </w:r>
    </w:p>
    <w:p>
      <w:pPr>
        <w:spacing w:line="360" w:lineRule="auto"/>
        <w:ind w:firstLine="420" w:firstLineChars="200"/>
        <w:rPr>
          <w:rFonts w:ascii="宋体" w:hAnsi="宋体"/>
          <w:color w:val="auto"/>
          <w:szCs w:val="21"/>
        </w:rPr>
      </w:pPr>
      <w:r>
        <w:rPr>
          <w:rFonts w:hint="eastAsia" w:ascii="宋体" w:hAnsi="宋体"/>
          <w:color w:val="auto"/>
          <w:szCs w:val="21"/>
        </w:rPr>
        <w:t>二、资格证明文件</w:t>
      </w:r>
    </w:p>
    <w:p>
      <w:pPr>
        <w:spacing w:line="360" w:lineRule="auto"/>
        <w:ind w:firstLine="480" w:firstLineChars="200"/>
        <w:rPr>
          <w:rFonts w:ascii="宋体" w:hAnsi="宋体"/>
          <w:color w:val="auto"/>
          <w:sz w:val="24"/>
        </w:rPr>
      </w:pPr>
    </w:p>
    <w:p>
      <w:pPr>
        <w:spacing w:line="360" w:lineRule="auto"/>
        <w:rPr>
          <w:rFonts w:ascii="宋体" w:hAnsi="宋体"/>
          <w:color w:val="auto"/>
        </w:rPr>
      </w:pPr>
    </w:p>
    <w:p>
      <w:pPr>
        <w:rPr>
          <w:rFonts w:ascii="宋体" w:hAnsi="宋体"/>
          <w:color w:val="auto"/>
        </w:rPr>
      </w:pPr>
    </w:p>
    <w:p>
      <w:pPr>
        <w:ind w:firstLine="480" w:firstLineChars="200"/>
        <w:jc w:val="center"/>
        <w:rPr>
          <w:rFonts w:ascii="宋体" w:hAnsi="宋体"/>
          <w:color w:val="auto"/>
          <w:sz w:val="24"/>
        </w:rPr>
      </w:pPr>
    </w:p>
    <w:p>
      <w:pPr>
        <w:rPr>
          <w:rFonts w:ascii="宋体" w:hAnsi="宋体"/>
          <w:color w:val="auto"/>
          <w:sz w:val="24"/>
        </w:rPr>
      </w:pPr>
    </w:p>
    <w:p>
      <w:pPr>
        <w:rPr>
          <w:rFonts w:ascii="宋体" w:hAnsi="宋体"/>
          <w:color w:val="auto"/>
          <w:sz w:val="24"/>
        </w:rPr>
      </w:pPr>
    </w:p>
    <w:p>
      <w:pPr>
        <w:ind w:firstLine="480" w:firstLineChars="200"/>
        <w:jc w:val="center"/>
        <w:rPr>
          <w:rFonts w:ascii="宋体" w:hAnsi="宋体"/>
          <w:color w:val="auto"/>
          <w:sz w:val="24"/>
        </w:rPr>
      </w:pPr>
    </w:p>
    <w:p>
      <w:pPr>
        <w:jc w:val="center"/>
        <w:outlineLvl w:val="1"/>
        <w:rPr>
          <w:rFonts w:ascii="宋体" w:hAnsi="宋体"/>
          <w:b/>
          <w:color w:val="auto"/>
          <w:sz w:val="24"/>
        </w:rPr>
      </w:pPr>
      <w:bookmarkStart w:id="89" w:name="_Toc32563"/>
      <w:bookmarkStart w:id="90" w:name="_Toc15029"/>
      <w:r>
        <w:rPr>
          <w:rFonts w:hint="eastAsia" w:ascii="宋体" w:hAnsi="宋体"/>
          <w:b/>
          <w:color w:val="auto"/>
          <w:sz w:val="28"/>
          <w:szCs w:val="28"/>
        </w:rPr>
        <w:br w:type="page"/>
      </w:r>
      <w:bookmarkStart w:id="91" w:name="_Toc1963"/>
      <w:r>
        <w:rPr>
          <w:rFonts w:hint="eastAsia" w:ascii="宋体" w:hAnsi="宋体"/>
          <w:b/>
          <w:color w:val="auto"/>
          <w:sz w:val="24"/>
        </w:rPr>
        <w:t>一、报价响应函及响应函附录</w:t>
      </w:r>
      <w:bookmarkEnd w:id="89"/>
      <w:bookmarkEnd w:id="90"/>
      <w:bookmarkEnd w:id="91"/>
    </w:p>
    <w:p>
      <w:pPr>
        <w:jc w:val="center"/>
        <w:rPr>
          <w:rFonts w:ascii="宋体" w:hAnsi="宋体"/>
          <w:b/>
          <w:color w:val="auto"/>
          <w:szCs w:val="21"/>
        </w:rPr>
      </w:pPr>
      <w:bookmarkStart w:id="92" w:name="_Toc5081"/>
      <w:bookmarkStart w:id="93" w:name="_Toc21509"/>
    </w:p>
    <w:p>
      <w:pPr>
        <w:jc w:val="center"/>
        <w:outlineLvl w:val="2"/>
        <w:rPr>
          <w:rFonts w:ascii="宋体" w:hAnsi="宋体"/>
          <w:color w:val="auto"/>
          <w:szCs w:val="21"/>
        </w:rPr>
      </w:pPr>
      <w:bookmarkStart w:id="94" w:name="_Toc2846"/>
      <w:r>
        <w:rPr>
          <w:rFonts w:hint="eastAsia" w:ascii="宋体" w:hAnsi="宋体"/>
          <w:b/>
          <w:color w:val="auto"/>
          <w:szCs w:val="21"/>
        </w:rPr>
        <w:t>（一）报价响应函</w:t>
      </w:r>
      <w:bookmarkEnd w:id="92"/>
      <w:bookmarkEnd w:id="93"/>
      <w:bookmarkEnd w:id="94"/>
    </w:p>
    <w:p>
      <w:pPr>
        <w:spacing w:line="360" w:lineRule="auto"/>
        <w:ind w:firstLine="420" w:firstLineChars="200"/>
        <w:rPr>
          <w:rFonts w:ascii="宋体" w:hAnsi="宋体"/>
          <w:color w:val="auto"/>
          <w:szCs w:val="21"/>
          <w:u w:val="single"/>
        </w:rPr>
      </w:pPr>
      <w:r>
        <w:rPr>
          <w:rFonts w:hint="eastAsia" w:ascii="宋体" w:hAnsi="宋体"/>
          <w:color w:val="auto"/>
          <w:szCs w:val="21"/>
        </w:rPr>
        <w:t>致：郑州航空港兴港电力有限公司</w:t>
      </w:r>
    </w:p>
    <w:p>
      <w:pPr>
        <w:spacing w:line="360" w:lineRule="auto"/>
        <w:ind w:firstLine="420" w:firstLineChars="20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u w:val="single"/>
          <w:lang w:eastAsia="zh-CN"/>
        </w:rPr>
        <w:t>郑州航空港兴港电力有限公司开闭所视频监控系统采购项目（二次）</w:t>
      </w:r>
      <w:r>
        <w:rPr>
          <w:rFonts w:hint="eastAsia" w:ascii="宋体" w:hAnsi="宋体"/>
          <w:color w:val="auto"/>
          <w:szCs w:val="21"/>
          <w:u w:val="single"/>
        </w:rPr>
        <w:t xml:space="preserve"> </w:t>
      </w:r>
      <w:r>
        <w:rPr>
          <w:rFonts w:hint="eastAsia" w:ascii="宋体" w:hAnsi="宋体"/>
          <w:color w:val="auto"/>
          <w:szCs w:val="21"/>
        </w:rPr>
        <w:t>询比文件，我方的报价为（大写）</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元）（含税价）。</w:t>
      </w:r>
    </w:p>
    <w:p>
      <w:pPr>
        <w:spacing w:line="360" w:lineRule="auto"/>
        <w:ind w:firstLine="420" w:firstLineChars="200"/>
        <w:rPr>
          <w:rFonts w:ascii="宋体" w:hAnsi="宋体"/>
          <w:color w:val="auto"/>
          <w:szCs w:val="21"/>
        </w:rPr>
      </w:pPr>
      <w:r>
        <w:rPr>
          <w:rFonts w:hint="eastAsia" w:ascii="宋体" w:hAnsi="宋体"/>
          <w:color w:val="auto"/>
          <w:szCs w:val="21"/>
        </w:rPr>
        <w:t>据此函，我方承诺如下：</w:t>
      </w:r>
    </w:p>
    <w:p>
      <w:pPr>
        <w:spacing w:line="360" w:lineRule="auto"/>
        <w:ind w:firstLine="420" w:firstLineChars="200"/>
        <w:rPr>
          <w:rFonts w:ascii="宋体" w:hAnsi="宋体"/>
          <w:color w:val="auto"/>
          <w:szCs w:val="21"/>
        </w:rPr>
      </w:pPr>
      <w:r>
        <w:rPr>
          <w:rFonts w:hint="eastAsia" w:ascii="宋体" w:hAnsi="宋体"/>
          <w:color w:val="auto"/>
          <w:szCs w:val="21"/>
        </w:rPr>
        <w:t>1、我方承诺在响应有效期内不修改、撤销询比响应文件。</w:t>
      </w:r>
    </w:p>
    <w:p>
      <w:pPr>
        <w:spacing w:line="360" w:lineRule="auto"/>
        <w:ind w:firstLine="420" w:firstLineChars="200"/>
        <w:rPr>
          <w:rFonts w:ascii="宋体" w:hAnsi="宋体"/>
          <w:color w:val="auto"/>
          <w:szCs w:val="21"/>
        </w:rPr>
      </w:pPr>
      <w:r>
        <w:rPr>
          <w:rFonts w:hint="eastAsia" w:ascii="宋体" w:hAnsi="宋体"/>
          <w:color w:val="auto"/>
          <w:szCs w:val="21"/>
        </w:rPr>
        <w:t>2、我方承诺完全理解和接受询比文件的一切规定和要求和本次询比有关的任何举动。</w:t>
      </w:r>
    </w:p>
    <w:p>
      <w:pPr>
        <w:spacing w:line="360" w:lineRule="auto"/>
        <w:ind w:firstLine="420" w:firstLineChars="200"/>
        <w:rPr>
          <w:rFonts w:ascii="宋体" w:hAnsi="宋体"/>
          <w:color w:val="auto"/>
          <w:szCs w:val="21"/>
        </w:rPr>
      </w:pPr>
      <w:r>
        <w:rPr>
          <w:rFonts w:hint="eastAsia" w:ascii="宋体" w:hAnsi="宋体"/>
          <w:color w:val="auto"/>
          <w:szCs w:val="21"/>
        </w:rPr>
        <w:t>3、我方理解贵方可依据询比文件的要求接受或拒绝任何响应报价。</w:t>
      </w:r>
    </w:p>
    <w:p>
      <w:pPr>
        <w:spacing w:line="360" w:lineRule="auto"/>
        <w:ind w:firstLine="420" w:firstLineChars="200"/>
        <w:rPr>
          <w:rFonts w:ascii="宋体" w:hAnsi="宋体"/>
          <w:color w:val="auto"/>
          <w:szCs w:val="21"/>
        </w:rPr>
      </w:pPr>
      <w:r>
        <w:rPr>
          <w:rFonts w:hint="eastAsia" w:ascii="宋体" w:hAnsi="宋体"/>
          <w:color w:val="auto"/>
          <w:szCs w:val="21"/>
        </w:rPr>
        <w:t>4、同意向贵方提供贵方可能要求的与本次报价有关的任何数据或资料。</w:t>
      </w:r>
    </w:p>
    <w:p>
      <w:pPr>
        <w:spacing w:line="360" w:lineRule="auto"/>
        <w:ind w:firstLine="420" w:firstLineChars="200"/>
        <w:rPr>
          <w:rFonts w:ascii="宋体" w:hAnsi="宋体"/>
          <w:color w:val="auto"/>
          <w:szCs w:val="21"/>
        </w:rPr>
      </w:pPr>
      <w:r>
        <w:rPr>
          <w:rFonts w:hint="eastAsia" w:ascii="宋体" w:hAnsi="宋体"/>
          <w:color w:val="auto"/>
          <w:szCs w:val="21"/>
        </w:rPr>
        <w:t>5、如我方成为成交单位：</w:t>
      </w:r>
    </w:p>
    <w:p>
      <w:pPr>
        <w:spacing w:line="360" w:lineRule="auto"/>
        <w:ind w:firstLine="420" w:firstLineChars="200"/>
        <w:rPr>
          <w:rFonts w:ascii="宋体" w:hAnsi="宋体"/>
          <w:color w:val="auto"/>
          <w:szCs w:val="21"/>
        </w:rPr>
      </w:pPr>
      <w:r>
        <w:rPr>
          <w:rFonts w:hint="eastAsia" w:ascii="宋体" w:hAnsi="宋体"/>
          <w:color w:val="auto"/>
          <w:szCs w:val="21"/>
        </w:rPr>
        <w:t>（1）我方承诺在成交公告发布后，按照贵方规定的期限内与贵方签订合同；</w:t>
      </w:r>
    </w:p>
    <w:p>
      <w:pPr>
        <w:spacing w:line="360" w:lineRule="auto"/>
        <w:ind w:firstLine="420" w:firstLineChars="200"/>
        <w:rPr>
          <w:rFonts w:ascii="宋体" w:hAnsi="宋体"/>
          <w:color w:val="auto"/>
          <w:szCs w:val="21"/>
        </w:rPr>
      </w:pPr>
      <w:r>
        <w:rPr>
          <w:rFonts w:hint="eastAsia" w:ascii="宋体" w:hAnsi="宋体"/>
          <w:color w:val="auto"/>
          <w:szCs w:val="21"/>
        </w:rPr>
        <w:t>（2）本响应函属于合同文件的组成部分；</w:t>
      </w:r>
    </w:p>
    <w:p>
      <w:pPr>
        <w:spacing w:line="360" w:lineRule="auto"/>
        <w:ind w:firstLine="420" w:firstLineChars="200"/>
        <w:rPr>
          <w:rFonts w:ascii="宋体" w:hAnsi="宋体"/>
          <w:color w:val="auto"/>
          <w:szCs w:val="21"/>
        </w:rPr>
      </w:pPr>
      <w:r>
        <w:rPr>
          <w:rFonts w:hint="eastAsia" w:ascii="宋体" w:hAnsi="宋体"/>
          <w:color w:val="auto"/>
          <w:szCs w:val="21"/>
        </w:rPr>
        <w:t>（3）我方承诺按照询比文件的规定及合同约定履行相关责任和义务；</w:t>
      </w:r>
    </w:p>
    <w:p>
      <w:pPr>
        <w:spacing w:line="360" w:lineRule="auto"/>
        <w:ind w:firstLine="420" w:firstLineChars="200"/>
        <w:rPr>
          <w:rFonts w:ascii="宋体" w:hAnsi="宋体"/>
          <w:color w:val="auto"/>
          <w:szCs w:val="21"/>
        </w:rPr>
      </w:pPr>
      <w:r>
        <w:rPr>
          <w:rFonts w:hint="eastAsia" w:ascii="宋体" w:hAnsi="宋体"/>
          <w:color w:val="auto"/>
          <w:szCs w:val="21"/>
        </w:rPr>
        <w:t>（4）我方承诺响应询比文件的全部要求。</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1260" w:firstLineChars="600"/>
        <w:rPr>
          <w:rFonts w:ascii="宋体" w:hAnsi="宋体"/>
          <w:color w:val="auto"/>
          <w:szCs w:val="21"/>
        </w:rPr>
      </w:pPr>
      <w:r>
        <w:rPr>
          <w:rFonts w:hint="eastAsia" w:ascii="宋体" w:hAnsi="宋体"/>
          <w:color w:val="auto"/>
          <w:szCs w:val="21"/>
        </w:rPr>
        <w:t>与本报价有关的正式通讯地址为：</w:t>
      </w:r>
    </w:p>
    <w:p>
      <w:pPr>
        <w:spacing w:line="360" w:lineRule="auto"/>
        <w:ind w:firstLine="1260" w:firstLineChars="600"/>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1260" w:firstLineChars="600"/>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360" w:lineRule="auto"/>
        <w:ind w:firstLine="1260" w:firstLineChars="600"/>
        <w:rPr>
          <w:rFonts w:ascii="宋体" w:hAnsi="宋体"/>
          <w:color w:val="auto"/>
          <w:szCs w:val="21"/>
        </w:rPr>
      </w:pPr>
      <w:r>
        <w:rPr>
          <w:rFonts w:hint="eastAsia" w:ascii="宋体" w:hAnsi="宋体"/>
          <w:color w:val="auto"/>
          <w:szCs w:val="21"/>
        </w:rPr>
        <w:t xml:space="preserve">地址：                                                             </w:t>
      </w:r>
    </w:p>
    <w:p>
      <w:pPr>
        <w:spacing w:line="360" w:lineRule="auto"/>
        <w:ind w:firstLine="1260" w:firstLineChars="600"/>
        <w:rPr>
          <w:rFonts w:ascii="宋体" w:hAnsi="宋体"/>
          <w:color w:val="auto"/>
          <w:szCs w:val="21"/>
        </w:rPr>
      </w:pPr>
      <w:r>
        <w:rPr>
          <w:rFonts w:hint="eastAsia" w:ascii="宋体" w:hAnsi="宋体"/>
          <w:color w:val="auto"/>
          <w:szCs w:val="21"/>
        </w:rPr>
        <w:t xml:space="preserve">邮政编码：                                                         </w:t>
      </w:r>
    </w:p>
    <w:p>
      <w:pPr>
        <w:spacing w:line="360" w:lineRule="auto"/>
        <w:ind w:firstLine="1260" w:firstLineChars="600"/>
        <w:rPr>
          <w:rFonts w:ascii="宋体" w:hAnsi="宋体"/>
          <w:color w:val="auto"/>
          <w:szCs w:val="21"/>
        </w:rPr>
      </w:pPr>
      <w:r>
        <w:rPr>
          <w:rFonts w:hint="eastAsia" w:ascii="宋体" w:hAnsi="宋体"/>
          <w:color w:val="auto"/>
          <w:szCs w:val="21"/>
        </w:rPr>
        <w:t xml:space="preserve">电话：                                                       </w:t>
      </w:r>
    </w:p>
    <w:p>
      <w:pPr>
        <w:spacing w:line="360" w:lineRule="auto"/>
        <w:ind w:firstLine="1260" w:firstLineChars="600"/>
        <w:rPr>
          <w:rFonts w:ascii="宋体" w:hAnsi="宋体"/>
          <w:color w:val="auto"/>
          <w:szCs w:val="21"/>
        </w:rPr>
      </w:pPr>
      <w:r>
        <w:rPr>
          <w:rFonts w:hint="eastAsia" w:ascii="宋体" w:hAnsi="宋体"/>
          <w:color w:val="auto"/>
          <w:szCs w:val="21"/>
        </w:rPr>
        <w:t xml:space="preserve">日期：                                                             </w:t>
      </w:r>
    </w:p>
    <w:p>
      <w:pPr>
        <w:jc w:val="center"/>
        <w:outlineLvl w:val="2"/>
        <w:rPr>
          <w:rFonts w:ascii="宋体" w:hAnsi="宋体"/>
          <w:color w:val="auto"/>
          <w:szCs w:val="21"/>
        </w:rPr>
      </w:pPr>
      <w:r>
        <w:rPr>
          <w:rFonts w:hint="eastAsia" w:ascii="宋体" w:hAnsi="宋体"/>
          <w:color w:val="auto"/>
          <w:sz w:val="20"/>
          <w:szCs w:val="20"/>
        </w:rPr>
        <w:br w:type="page"/>
      </w:r>
      <w:bookmarkStart w:id="95" w:name="_Toc25907"/>
      <w:bookmarkStart w:id="96" w:name="_Toc32383"/>
      <w:bookmarkStart w:id="97" w:name="_Toc15113"/>
      <w:r>
        <w:rPr>
          <w:rFonts w:hint="eastAsia" w:ascii="宋体" w:hAnsi="宋体"/>
          <w:b/>
          <w:color w:val="auto"/>
          <w:szCs w:val="21"/>
        </w:rPr>
        <w:t>（二）响应函附录</w:t>
      </w:r>
      <w:bookmarkEnd w:id="95"/>
      <w:bookmarkEnd w:id="96"/>
      <w:bookmarkEnd w:id="97"/>
    </w:p>
    <w:p>
      <w:pPr>
        <w:spacing w:line="440" w:lineRule="exact"/>
        <w:jc w:val="center"/>
        <w:rPr>
          <w:rFonts w:ascii="宋体" w:hAnsi="宋体"/>
          <w:color w:val="auto"/>
          <w:sz w:val="20"/>
          <w:szCs w:val="20"/>
        </w:rPr>
      </w:pPr>
    </w:p>
    <w:tbl>
      <w:tblPr>
        <w:tblStyle w:val="33"/>
        <w:tblW w:w="91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1050"/>
        <w:gridCol w:w="1992"/>
        <w:gridCol w:w="1356"/>
        <w:gridCol w:w="20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项目名称</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Cs w:val="21"/>
                <w:lang w:eastAsia="zh-CN"/>
              </w:rPr>
            </w:pPr>
            <w:r>
              <w:rPr>
                <w:rFonts w:hint="eastAsia" w:ascii="宋体" w:hAnsi="宋体" w:cs="宋体"/>
                <w:color w:val="auto"/>
                <w:szCs w:val="21"/>
                <w:lang w:eastAsia="zh-CN"/>
              </w:rPr>
              <w:t>郑州航空港兴港电力有限公司开闭所视频监控系统采购项目（二次）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响应单位</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响应范围</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Cs w:val="21"/>
              </w:rPr>
            </w:pPr>
            <w:r>
              <w:rPr>
                <w:rFonts w:ascii="宋体" w:hAnsi="宋体" w:cs="宋体"/>
                <w:color w:val="auto"/>
                <w:kern w:val="0"/>
                <w:szCs w:val="21"/>
              </w:rPr>
              <w:t>郑州航空港兴港电力有限公司</w:t>
            </w:r>
            <w:r>
              <w:rPr>
                <w:rFonts w:hint="eastAsia" w:ascii="宋体" w:hAnsi="宋体" w:cs="宋体"/>
                <w:color w:val="auto"/>
                <w:kern w:val="0"/>
                <w:szCs w:val="21"/>
              </w:rPr>
              <w:t>开闭所视频监控系统采购项目</w:t>
            </w:r>
            <w:r>
              <w:rPr>
                <w:rFonts w:ascii="宋体" w:hAnsi="宋体" w:cs="宋体"/>
                <w:color w:val="auto"/>
                <w:kern w:val="0"/>
                <w:szCs w:val="21"/>
              </w:rPr>
              <w:t>的供货、相关技术服务、人员培训、现场技术支持</w:t>
            </w:r>
            <w:r>
              <w:rPr>
                <w:rFonts w:hint="eastAsia" w:ascii="宋体" w:hAnsi="宋体" w:cs="宋体"/>
                <w:color w:val="auto"/>
                <w:kern w:val="0"/>
                <w:szCs w:val="21"/>
              </w:rPr>
              <w:t>、</w:t>
            </w:r>
            <w:r>
              <w:rPr>
                <w:rFonts w:ascii="宋体" w:hAnsi="宋体" w:cs="宋体"/>
                <w:color w:val="auto"/>
                <w:kern w:val="0"/>
                <w:szCs w:val="21"/>
              </w:rPr>
              <w:t>质保服务</w:t>
            </w:r>
            <w:r>
              <w:rPr>
                <w:rFonts w:hint="eastAsia" w:ascii="宋体" w:hAnsi="宋体" w:cs="宋体"/>
                <w:color w:val="auto"/>
                <w:kern w:val="0"/>
                <w:szCs w:val="21"/>
              </w:rPr>
              <w:t>和售后服务。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响应总报价（元，含税）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增值税率</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分项报价</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详见报价明细表（后附）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报价说明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kern w:val="0"/>
                <w:szCs w:val="21"/>
              </w:rPr>
              <w:t>以上报价为最终报价，报价包含响应询比文件的一切内容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Cs/>
                <w:color w:val="auto"/>
                <w:szCs w:val="21"/>
              </w:rPr>
              <w:t>合同签订后    日历天内交付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交货地点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bCs/>
                <w:color w:val="auto"/>
                <w:szCs w:val="21"/>
              </w:rPr>
              <w:t>质量要求</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b/>
                <w:color w:val="auto"/>
                <w:szCs w:val="21"/>
              </w:rPr>
            </w:pPr>
            <w:r>
              <w:rPr>
                <w:rFonts w:hint="eastAsia" w:ascii="宋体" w:hAnsi="宋体" w:cs="宋体"/>
                <w:color w:val="auto"/>
                <w:szCs w:val="21"/>
              </w:rPr>
              <w:t>产品符合最新的国家、行业规范、生产标准及采购文件中载明的相关技术要求。且按规定提供全新的、完整无损的、加工生产的最终产品，同时提供质量技术检验机构检定合格报告。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姓名</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联系方式</w:t>
            </w:r>
          </w:p>
        </w:tc>
        <w:tc>
          <w:tcPr>
            <w:tcW w:w="20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质保期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color w:val="auto"/>
                <w:szCs w:val="21"/>
              </w:rPr>
            </w:pPr>
            <w:r>
              <w:rPr>
                <w:rFonts w:hint="eastAsia" w:ascii="宋体" w:hAnsi="宋体" w:cs="宋体"/>
                <w:color w:val="auto"/>
                <w:szCs w:val="21"/>
              </w:rPr>
              <w:t>自交货之日起不少于  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响应有效期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60日历天（从递交报价响应文件截止之日算起）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其他说明内容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rPr>
            </w:pPr>
            <w:r>
              <w:rPr>
                <w:rFonts w:hint="eastAsia"/>
                <w:color w:val="auto"/>
              </w:rPr>
              <w:t>1.我方供货产品满足采购人技术参数要求；</w:t>
            </w:r>
          </w:p>
          <w:p>
            <w:pPr>
              <w:numPr>
                <w:ilvl w:val="255"/>
                <w:numId w:val="0"/>
              </w:numPr>
              <w:adjustRightInd w:val="0"/>
              <w:snapToGrid w:val="0"/>
              <w:jc w:val="left"/>
              <w:rPr>
                <w:color w:val="auto"/>
              </w:rPr>
            </w:pPr>
            <w:r>
              <w:rPr>
                <w:rFonts w:hint="eastAsia"/>
                <w:color w:val="auto"/>
              </w:rPr>
              <w:t>2.我方承诺提供产品完整的中文使用说明书及中文技术资料；</w:t>
            </w:r>
          </w:p>
          <w:p>
            <w:pPr>
              <w:adjustRightInd w:val="0"/>
              <w:snapToGrid w:val="0"/>
              <w:jc w:val="left"/>
              <w:rPr>
                <w:color w:val="auto"/>
              </w:rPr>
            </w:pPr>
            <w:r>
              <w:rPr>
                <w:rFonts w:hint="eastAsia"/>
                <w:color w:val="auto"/>
              </w:rPr>
              <w:t>3.当产品的软件更新时，我方承诺及时免费提供相应的软件及技术培训或其它技术服务。</w:t>
            </w:r>
          </w:p>
          <w:p>
            <w:pPr>
              <w:pStyle w:val="32"/>
              <w:ind w:firstLine="0" w:firstLineChars="0"/>
              <w:rPr>
                <w:color w:val="auto"/>
              </w:rPr>
            </w:pPr>
            <w:r>
              <w:rPr>
                <w:rFonts w:hint="eastAsia" w:ascii="Times New Roman" w:hAnsi="Times New Roman" w:eastAsia="宋体"/>
                <w:color w:val="auto"/>
              </w:rPr>
              <w:t>4.我方对产品提供1年免费质保、免费使用培训服务，终身有偿维修和技术支持。一旦产品出现故障，无论是保修期内还是保修期外，在48小时内予以响应并将故障排除。</w:t>
            </w:r>
          </w:p>
        </w:tc>
      </w:tr>
    </w:tbl>
    <w:p>
      <w:pPr>
        <w:spacing w:line="440" w:lineRule="exact"/>
        <w:jc w:val="center"/>
        <w:rPr>
          <w:rFonts w:ascii="宋体" w:hAnsi="宋体"/>
          <w:color w:val="auto"/>
          <w:sz w:val="24"/>
        </w:rPr>
      </w:pPr>
    </w:p>
    <w:p>
      <w:pPr>
        <w:spacing w:line="440" w:lineRule="exact"/>
        <w:jc w:val="center"/>
        <w:rPr>
          <w:rFonts w:ascii="宋体" w:hAnsi="宋体"/>
          <w:color w:val="auto"/>
          <w:sz w:val="24"/>
        </w:rPr>
      </w:pPr>
    </w:p>
    <w:p>
      <w:pPr>
        <w:spacing w:line="360" w:lineRule="auto"/>
        <w:ind w:firstLine="2763" w:firstLineChars="1316"/>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2763" w:firstLineChars="1316"/>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440" w:lineRule="exact"/>
        <w:ind w:firstLine="2763" w:firstLineChars="1316"/>
        <w:jc w:val="left"/>
        <w:rPr>
          <w:rFonts w:ascii="宋体" w:hAnsi="宋体"/>
          <w:color w:val="auto"/>
          <w:szCs w:val="21"/>
        </w:rPr>
      </w:pPr>
      <w:r>
        <w:rPr>
          <w:rFonts w:hint="eastAsia" w:ascii="宋体" w:hAnsi="宋体"/>
          <w:color w:val="auto"/>
          <w:szCs w:val="21"/>
        </w:rPr>
        <w:t>日   期：     年   月   日</w:t>
      </w:r>
      <w:r>
        <w:rPr>
          <w:rFonts w:hint="eastAsia" w:ascii="宋体" w:hAnsi="宋体"/>
          <w:color w:val="auto"/>
          <w:szCs w:val="21"/>
        </w:rPr>
        <w:br w:type="page"/>
      </w:r>
    </w:p>
    <w:p>
      <w:pPr>
        <w:jc w:val="center"/>
        <w:outlineLvl w:val="2"/>
        <w:rPr>
          <w:rFonts w:ascii="宋体" w:hAnsi="宋体"/>
          <w:b/>
          <w:color w:val="auto"/>
          <w:szCs w:val="21"/>
        </w:rPr>
      </w:pPr>
      <w:bookmarkStart w:id="98" w:name="_Toc23644"/>
      <w:r>
        <w:rPr>
          <w:rFonts w:hint="eastAsia" w:ascii="宋体" w:hAnsi="宋体"/>
          <w:b/>
          <w:color w:val="auto"/>
          <w:szCs w:val="21"/>
        </w:rPr>
        <w:t>报价明细表</w:t>
      </w:r>
      <w:bookmarkEnd w:id="98"/>
    </w:p>
    <w:p>
      <w:pPr>
        <w:jc w:val="center"/>
        <w:rPr>
          <w:rFonts w:ascii="宋体" w:hAnsi="宋体"/>
          <w:b/>
          <w:color w:val="auto"/>
          <w:sz w:val="24"/>
          <w:u w:val="single"/>
        </w:rPr>
      </w:pPr>
    </w:p>
    <w:p>
      <w:pPr>
        <w:jc w:val="left"/>
        <w:rPr>
          <w:rFonts w:ascii="宋体" w:hAnsi="宋体"/>
          <w:b/>
          <w:color w:val="auto"/>
          <w:sz w:val="24"/>
          <w:u w:val="single"/>
        </w:rPr>
      </w:pPr>
    </w:p>
    <w:tbl>
      <w:tblPr>
        <w:tblStyle w:val="33"/>
        <w:tblpPr w:leftFromText="180" w:rightFromText="180" w:vertAnchor="text" w:horzAnchor="page" w:tblpX="1481" w:tblpY="133"/>
        <w:tblOverlap w:val="never"/>
        <w:tblW w:w="4998" w:type="pct"/>
        <w:tblInd w:w="0" w:type="dxa"/>
        <w:tblLayout w:type="autofit"/>
        <w:tblCellMar>
          <w:top w:w="0" w:type="dxa"/>
          <w:left w:w="108" w:type="dxa"/>
          <w:bottom w:w="0" w:type="dxa"/>
          <w:right w:w="108" w:type="dxa"/>
        </w:tblCellMar>
      </w:tblPr>
      <w:tblGrid>
        <w:gridCol w:w="842"/>
        <w:gridCol w:w="2759"/>
        <w:gridCol w:w="634"/>
        <w:gridCol w:w="496"/>
        <w:gridCol w:w="1822"/>
        <w:gridCol w:w="1966"/>
      </w:tblGrid>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序号</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设备名称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数量</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安装摄像机所需的各种配件</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rPr>
              <w:t>调测服务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27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合计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bl>
    <w:p>
      <w:pPr>
        <w:pStyle w:val="31"/>
        <w:rPr>
          <w:color w:val="auto"/>
        </w:rPr>
      </w:pPr>
    </w:p>
    <w:p>
      <w:pPr>
        <w:spacing w:line="360" w:lineRule="auto"/>
        <w:jc w:val="left"/>
        <w:rPr>
          <w:rFonts w:ascii="宋体" w:hAnsi="宋体"/>
          <w:bCs/>
          <w:color w:val="auto"/>
          <w:szCs w:val="21"/>
        </w:rPr>
      </w:pPr>
      <w:r>
        <w:rPr>
          <w:rFonts w:hint="eastAsia" w:ascii="宋体" w:hAnsi="宋体"/>
          <w:b/>
          <w:color w:val="auto"/>
          <w:szCs w:val="21"/>
        </w:rPr>
        <w:t>注：</w:t>
      </w:r>
      <w:r>
        <w:rPr>
          <w:rFonts w:hint="eastAsia" w:ascii="宋体" w:hAnsi="宋体"/>
          <w:bCs/>
          <w:color w:val="auto"/>
          <w:szCs w:val="21"/>
          <w:lang w:eastAsia="zh-CN"/>
        </w:rPr>
        <w:t>报</w:t>
      </w:r>
      <w:r>
        <w:rPr>
          <w:rFonts w:hint="eastAsia" w:ascii="宋体" w:hAnsi="宋体"/>
          <w:bCs/>
          <w:color w:val="auto"/>
          <w:szCs w:val="21"/>
        </w:rPr>
        <w:t>价明细表中的每一类设备报价须包含组成该设备的全部内容（单项内容响应单位可根据实际报价情况自行修改）。</w:t>
      </w:r>
    </w:p>
    <w:p>
      <w:pPr>
        <w:pStyle w:val="32"/>
        <w:rPr>
          <w:rFonts w:ascii="宋体" w:hAnsi="宋体"/>
          <w:bCs/>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outlineLvl w:val="2"/>
        <w:rPr>
          <w:rFonts w:ascii="宋体" w:hAnsi="宋体"/>
          <w:b/>
          <w:color w:val="auto"/>
          <w:szCs w:val="21"/>
        </w:rPr>
      </w:pPr>
    </w:p>
    <w:p>
      <w:pPr>
        <w:jc w:val="left"/>
        <w:rPr>
          <w:rFonts w:ascii="宋体" w:hAnsi="宋体"/>
          <w:b/>
          <w:color w:val="auto"/>
          <w:szCs w:val="21"/>
        </w:rPr>
      </w:pPr>
      <w:r>
        <w:rPr>
          <w:rFonts w:hint="eastAsia" w:ascii="宋体" w:hAnsi="宋体"/>
          <w:b/>
          <w:color w:val="auto"/>
          <w:szCs w:val="21"/>
        </w:rPr>
        <w:br w:type="page"/>
      </w:r>
    </w:p>
    <w:p>
      <w:pPr>
        <w:spacing w:line="360" w:lineRule="auto"/>
        <w:jc w:val="center"/>
        <w:rPr>
          <w:rFonts w:ascii="宋体" w:hAnsi="宋体"/>
          <w:b/>
          <w:color w:val="auto"/>
          <w:szCs w:val="21"/>
        </w:rPr>
      </w:pPr>
      <w:r>
        <w:rPr>
          <w:rFonts w:hint="eastAsia" w:ascii="宋体" w:hAnsi="宋体"/>
          <w:b/>
          <w:color w:val="auto"/>
          <w:szCs w:val="21"/>
        </w:rPr>
        <w:t>品牌、规格明细表</w:t>
      </w:r>
    </w:p>
    <w:p>
      <w:pPr>
        <w:pStyle w:val="32"/>
        <w:rPr>
          <w:color w:val="auto"/>
        </w:rPr>
      </w:pPr>
    </w:p>
    <w:tbl>
      <w:tblPr>
        <w:tblStyle w:val="33"/>
        <w:tblW w:w="4998" w:type="pct"/>
        <w:tblInd w:w="0" w:type="dxa"/>
        <w:tblLayout w:type="autofit"/>
        <w:tblCellMar>
          <w:top w:w="0" w:type="dxa"/>
          <w:left w:w="108" w:type="dxa"/>
          <w:bottom w:w="0" w:type="dxa"/>
          <w:right w:w="108" w:type="dxa"/>
        </w:tblCellMar>
      </w:tblPr>
      <w:tblGrid>
        <w:gridCol w:w="689"/>
        <w:gridCol w:w="1542"/>
        <w:gridCol w:w="2153"/>
        <w:gridCol w:w="711"/>
        <w:gridCol w:w="651"/>
        <w:gridCol w:w="2773"/>
      </w:tblGrid>
      <w:tr>
        <w:tblPrEx>
          <w:tblCellMar>
            <w:top w:w="0" w:type="dxa"/>
            <w:left w:w="108" w:type="dxa"/>
            <w:bottom w:w="0" w:type="dxa"/>
            <w:right w:w="108" w:type="dxa"/>
          </w:tblCellMar>
        </w:tblPrEx>
        <w:trPr>
          <w:trHeight w:val="579"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905"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设备名称</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品牌（响应单位填写）</w:t>
            </w:r>
          </w:p>
        </w:tc>
        <w:tc>
          <w:tcPr>
            <w:tcW w:w="417"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382"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规格型号（响应单位填写）</w:t>
            </w: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905"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摄像机（球机）</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套</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30</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color w:val="auto"/>
                <w:kern w:val="0"/>
                <w:szCs w:val="21"/>
              </w:rPr>
            </w:pP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905"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摄像机（枪机）</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ind w:firstLine="300"/>
              <w:rPr>
                <w:rFonts w:ascii="宋体" w:hAnsi="宋体" w:cs="宋体"/>
                <w:color w:val="auto"/>
                <w:kern w:val="0"/>
                <w:szCs w:val="21"/>
                <w:lang w:bidi="ar"/>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套</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36</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ind w:firstLine="300"/>
              <w:jc w:val="center"/>
              <w:rPr>
                <w:rFonts w:ascii="宋体" w:hAnsi="宋体" w:cs="宋体"/>
                <w:color w:val="auto"/>
                <w:kern w:val="0"/>
                <w:szCs w:val="21"/>
              </w:rPr>
            </w:pP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3</w:t>
            </w:r>
          </w:p>
        </w:tc>
        <w:tc>
          <w:tcPr>
            <w:tcW w:w="905"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szCs w:val="21"/>
                <w:lang w:eastAsia="zh-CN"/>
              </w:rPr>
              <w:t>安装摄像机所需的各种配件</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ind w:firstLine="300"/>
              <w:rPr>
                <w:rFonts w:ascii="宋体" w:hAnsi="宋体" w:cs="宋体"/>
                <w:color w:val="auto"/>
                <w:kern w:val="0"/>
                <w:szCs w:val="21"/>
                <w:lang w:bidi="ar"/>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项</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1</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ind w:firstLine="300"/>
              <w:jc w:val="center"/>
              <w:rPr>
                <w:rFonts w:ascii="宋体" w:hAnsi="宋体" w:cs="宋体"/>
                <w:color w:val="auto"/>
                <w:kern w:val="0"/>
                <w:szCs w:val="21"/>
              </w:rPr>
            </w:pP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4</w:t>
            </w:r>
          </w:p>
        </w:tc>
        <w:tc>
          <w:tcPr>
            <w:tcW w:w="905"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auto"/>
                <w:kern w:val="0"/>
                <w:szCs w:val="21"/>
                <w:lang w:bidi="ar"/>
              </w:rPr>
            </w:pPr>
            <w:r>
              <w:rPr>
                <w:rFonts w:hint="eastAsia"/>
                <w:color w:val="auto"/>
                <w:lang w:eastAsia="zh-CN"/>
              </w:rPr>
              <w:t>调测服务</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ind w:firstLine="300"/>
              <w:rPr>
                <w:rFonts w:ascii="宋体" w:hAnsi="宋体" w:cs="宋体"/>
                <w:color w:val="auto"/>
                <w:kern w:val="0"/>
                <w:szCs w:val="21"/>
                <w:lang w:bidi="ar"/>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lang w:eastAsia="zh-CN"/>
              </w:rPr>
              <w:t>项</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kern w:val="0"/>
                <w:szCs w:val="21"/>
                <w:lang w:eastAsia="zh-CN" w:bidi="ar"/>
              </w:rPr>
            </w:pPr>
            <w:r>
              <w:rPr>
                <w:rFonts w:hint="eastAsia" w:ascii="宋体" w:hAnsi="宋体" w:cs="宋体"/>
                <w:color w:val="auto"/>
                <w:szCs w:val="21"/>
                <w:lang w:val="en-US" w:eastAsia="zh-CN"/>
              </w:rPr>
              <w:t>1</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ind w:firstLine="300"/>
              <w:jc w:val="center"/>
              <w:rPr>
                <w:rFonts w:ascii="宋体" w:hAnsi="宋体" w:cs="宋体"/>
                <w:color w:val="auto"/>
                <w:kern w:val="0"/>
                <w:szCs w:val="21"/>
              </w:rPr>
            </w:pPr>
          </w:p>
        </w:tc>
      </w:tr>
    </w:tbl>
    <w:p>
      <w:pPr>
        <w:spacing w:line="360" w:lineRule="auto"/>
        <w:jc w:val="left"/>
        <w:rPr>
          <w:rFonts w:ascii="宋体" w:hAnsi="宋体"/>
          <w:b/>
          <w:color w:val="auto"/>
          <w:szCs w:val="21"/>
          <w:u w:val="single"/>
        </w:rPr>
      </w:pPr>
    </w:p>
    <w:p>
      <w:pPr>
        <w:spacing w:line="360" w:lineRule="auto"/>
        <w:rPr>
          <w:rFonts w:ascii="宋体" w:hAnsi="宋体"/>
          <w:b/>
          <w:color w:val="auto"/>
          <w:szCs w:val="21"/>
          <w:u w:val="single"/>
        </w:rPr>
      </w:pPr>
    </w:p>
    <w:p>
      <w:pPr>
        <w:spacing w:line="360" w:lineRule="auto"/>
        <w:jc w:val="center"/>
        <w:rPr>
          <w:rFonts w:ascii="宋体" w:hAnsi="宋体"/>
          <w:b/>
          <w:color w:val="auto"/>
          <w:szCs w:val="21"/>
          <w:u w:val="single"/>
        </w:rPr>
      </w:pPr>
    </w:p>
    <w:p>
      <w:pPr>
        <w:jc w:val="left"/>
        <w:rPr>
          <w:rFonts w:ascii="宋体" w:hAnsi="宋体"/>
          <w:b/>
          <w:color w:val="auto"/>
          <w:szCs w:val="21"/>
        </w:rPr>
      </w:pPr>
      <w:r>
        <w:rPr>
          <w:rFonts w:hint="eastAsia" w:ascii="宋体" w:hAnsi="宋体"/>
          <w:b/>
          <w:color w:val="auto"/>
          <w:szCs w:val="21"/>
        </w:rPr>
        <w:br w:type="page"/>
      </w:r>
    </w:p>
    <w:p>
      <w:pPr>
        <w:spacing w:line="360" w:lineRule="auto"/>
        <w:jc w:val="center"/>
        <w:rPr>
          <w:rFonts w:ascii="宋体" w:hAnsi="宋体"/>
          <w:b/>
          <w:color w:val="auto"/>
          <w:szCs w:val="21"/>
        </w:rPr>
      </w:pPr>
      <w:r>
        <w:rPr>
          <w:rFonts w:hint="eastAsia" w:ascii="宋体" w:hAnsi="宋体"/>
          <w:b/>
          <w:color w:val="auto"/>
          <w:szCs w:val="21"/>
        </w:rPr>
        <w:t>技术参数明细表</w:t>
      </w:r>
    </w:p>
    <w:tbl>
      <w:tblPr>
        <w:tblStyle w:val="33"/>
        <w:tblpPr w:leftFromText="180" w:rightFromText="180" w:vertAnchor="text" w:horzAnchor="page" w:tblpX="988" w:tblpY="475"/>
        <w:tblOverlap w:val="never"/>
        <w:tblW w:w="5972" w:type="pct"/>
        <w:tblInd w:w="0" w:type="dxa"/>
        <w:tblLayout w:type="fixed"/>
        <w:tblCellMar>
          <w:top w:w="0" w:type="dxa"/>
          <w:left w:w="108" w:type="dxa"/>
          <w:bottom w:w="0" w:type="dxa"/>
          <w:right w:w="108" w:type="dxa"/>
        </w:tblCellMar>
      </w:tblPr>
      <w:tblGrid>
        <w:gridCol w:w="687"/>
        <w:gridCol w:w="1104"/>
        <w:gridCol w:w="2276"/>
        <w:gridCol w:w="2965"/>
        <w:gridCol w:w="1598"/>
        <w:gridCol w:w="1549"/>
      </w:tblGrid>
      <w:tr>
        <w:tblPrEx>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序号</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要求名称</w:t>
            </w:r>
          </w:p>
        </w:tc>
        <w:tc>
          <w:tcPr>
            <w:tcW w:w="2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技术参数要求</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响应单位保证值</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偏差说明</w:t>
            </w:r>
          </w:p>
        </w:tc>
      </w:tr>
      <w:tr>
        <w:tblPrEx>
          <w:tblCellMar>
            <w:top w:w="0" w:type="dxa"/>
            <w:left w:w="108" w:type="dxa"/>
            <w:bottom w:w="0" w:type="dxa"/>
            <w:right w:w="108" w:type="dxa"/>
          </w:tblCellMar>
        </w:tblPrEx>
        <w:trPr>
          <w:trHeight w:val="27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2560*1440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 xml:space="preserve">彩色：0.005lux@F1.6 </w:t>
            </w:r>
          </w:p>
          <w:p>
            <w:pPr>
              <w:jc w:val="center"/>
              <w:rPr>
                <w:rFonts w:ascii="宋体" w:hAnsi="宋体" w:cs="宋体"/>
                <w:color w:val="auto"/>
                <w:szCs w:val="21"/>
              </w:rPr>
            </w:pPr>
            <w:r>
              <w:rPr>
                <w:rFonts w:hint="eastAsia" w:ascii="宋体" w:hAnsi="宋体" w:cs="宋体"/>
                <w:color w:val="auto"/>
                <w:szCs w:val="21"/>
              </w:rPr>
              <w:t>黑白：0.0005lux@F1.60Lux（红外灯）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50m（红外）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81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红外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5mm~115mm</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光学变倍</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23倍</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支持绊线入侵，支持区域入侵，支持穿越围栏，支持徘徊检测，支持物品遗留，支持物品搬移，支持快速移动，支持停车检测，支持人员聚集，支持人车分类报警，支持联动跟踪；人脸检测：支持人脸检测；支持人脸轨迹框；支持抓拍；支持人脸增强；支持人脸抠图区域可设：人脸，单寸照；支持实时抓拍，质量优先二种抓拍策略。</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防抖功能</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电子防抖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透雾功能</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电子透雾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音频输入</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IN；裸线）</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音频输出</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OUT；裸线）</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语音对讲</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报警输入</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2路，开关量输入（0~5V DC）</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报警输出</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球机尺寸</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4寸</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60-120定制球机专用支架 材质：铝合金</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2688×1520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0.002Lux（彩色模式）；0.0002Lux（黑白模式）；0Lux（补光灯开启）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60m（红外视频监控距离）30m（暖光视频监控距离）2m（人脸检测距离）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2颗（红外灯）;2颗（暖光灯）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定焦3.6mm</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镜头光圈</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F1.6</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绊线入侵；区域入侵；快速移动（三项均支持人车分类及精准检测）；徘徊检测；人员聚集；停车检测；SMD 3.0：第三代智能动检技术；支持人脸抓拍；支持人脸检测；支持跟踪；支持优选；支持抓拍；支持上报最优的人脸抓图；支持人脸增强，支持人脸曝光；；支持实时抓拍、优选抓拍、质量优先三种抓拍策略；支持人脸角度过滤功能；支持优选时长可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报警事件</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无SD卡；SD卡空间不足；SD卡出错；网络断开；IP冲突；非法访问；动态检测；SMD；视频遮挡；绊线入侵；区域入侵；快速移动；物品遗留；物品搬移；徘徊检测；人员聚集；停车检测；场景变更；音频异常侦测；电压检测；安全异常；人脸检测；</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预览最大用户数</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20个（总带宽:80M）</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内置MIC</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内置扬声器</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热度图</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最大Micro SD卡</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512GB</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枪式摄像机专用支架 材质：铝合金</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lang w:eastAsia="zh-CN"/>
              </w:rPr>
              <w:t>安装摄像机所需的各种配件</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包含但不限于</w:t>
            </w:r>
            <w:r>
              <w:rPr>
                <w:rFonts w:hint="eastAsia" w:ascii="宋体" w:hAnsi="宋体" w:cs="宋体"/>
                <w:color w:val="auto"/>
                <w:szCs w:val="21"/>
              </w:rPr>
              <w:t>交换机</w:t>
            </w:r>
            <w:r>
              <w:rPr>
                <w:rFonts w:hint="eastAsia" w:ascii="宋体" w:hAnsi="宋体" w:cs="宋体"/>
                <w:color w:val="auto"/>
                <w:szCs w:val="21"/>
                <w:lang w:eastAsia="zh-CN"/>
              </w:rPr>
              <w:t>、</w:t>
            </w:r>
            <w:r>
              <w:rPr>
                <w:rFonts w:hint="eastAsia" w:ascii="宋体" w:hAnsi="宋体" w:cs="宋体"/>
                <w:color w:val="auto"/>
                <w:szCs w:val="21"/>
              </w:rPr>
              <w:t>网线、电源线、漏保、插座、网络跳线、光纤跳线、水晶头、线管、膨胀螺丝、自攻丝、胶带、扎带、管卡、接头、软管</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符合对应产品的国家标准</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bl>
    <w:p>
      <w:pPr>
        <w:spacing w:line="360" w:lineRule="auto"/>
        <w:jc w:val="left"/>
        <w:rPr>
          <w:b/>
          <w:color w:val="auto"/>
        </w:rPr>
      </w:pPr>
      <w:r>
        <w:rPr>
          <w:rFonts w:hint="eastAsia" w:ascii="宋体" w:hAnsi="宋体"/>
          <w:b/>
          <w:color w:val="auto"/>
          <w:szCs w:val="21"/>
        </w:rPr>
        <w:t>注：响应单位需认真逐项填写技术参数明细表中响应单位保证值，不能空格，也不能以“响应”两字代替，不允许改动“标准参数值”列。如有差异，请填写偏差说明，无差异请写明“无差异”。</w:t>
      </w:r>
      <w:r>
        <w:rPr>
          <w:rFonts w:hint="eastAsia" w:ascii="宋体" w:hAnsi="宋体"/>
          <w:b/>
          <w:color w:val="auto"/>
          <w:szCs w:val="21"/>
          <w:u w:val="single"/>
        </w:rPr>
        <w:br w:type="page"/>
      </w:r>
    </w:p>
    <w:p>
      <w:pPr>
        <w:pStyle w:val="3"/>
        <w:keepNext w:val="0"/>
        <w:keepLines w:val="0"/>
        <w:spacing w:line="360" w:lineRule="auto"/>
        <w:jc w:val="center"/>
        <w:rPr>
          <w:rFonts w:ascii="宋体" w:hAnsi="宋体" w:eastAsia="宋体"/>
          <w:bCs w:val="0"/>
          <w:color w:val="auto"/>
          <w:sz w:val="24"/>
          <w:szCs w:val="24"/>
        </w:rPr>
      </w:pPr>
      <w:bookmarkStart w:id="99" w:name="_Toc5885"/>
      <w:bookmarkStart w:id="100" w:name="_Toc3910"/>
      <w:bookmarkStart w:id="101" w:name="_Toc30972"/>
      <w:bookmarkStart w:id="102" w:name="_Toc1341"/>
      <w:bookmarkStart w:id="103" w:name="_Toc4844"/>
      <w:r>
        <w:rPr>
          <w:rFonts w:hint="eastAsia" w:ascii="宋体" w:hAnsi="宋体" w:eastAsia="宋体"/>
          <w:bCs w:val="0"/>
          <w:color w:val="auto"/>
          <w:sz w:val="24"/>
          <w:szCs w:val="24"/>
          <w:lang w:val="en-US" w:eastAsia="zh-CN"/>
        </w:rPr>
        <w:t>二</w:t>
      </w:r>
      <w:r>
        <w:rPr>
          <w:rFonts w:hint="eastAsia" w:ascii="宋体" w:hAnsi="宋体" w:eastAsia="宋体"/>
          <w:bCs w:val="0"/>
          <w:color w:val="auto"/>
          <w:sz w:val="24"/>
          <w:szCs w:val="24"/>
        </w:rPr>
        <w:t>、资格证明文件</w:t>
      </w:r>
      <w:bookmarkEnd w:id="99"/>
      <w:bookmarkEnd w:id="100"/>
      <w:bookmarkEnd w:id="101"/>
      <w:bookmarkEnd w:id="102"/>
      <w:bookmarkEnd w:id="103"/>
    </w:p>
    <w:p>
      <w:pPr>
        <w:pStyle w:val="4"/>
        <w:keepNext w:val="0"/>
        <w:keepLines w:val="0"/>
        <w:spacing w:line="360" w:lineRule="auto"/>
        <w:jc w:val="center"/>
        <w:rPr>
          <w:rFonts w:ascii="宋体" w:hAnsi="宋体" w:cs="宋体"/>
          <w:color w:val="auto"/>
          <w:sz w:val="24"/>
          <w:szCs w:val="24"/>
        </w:rPr>
      </w:pPr>
      <w:bookmarkStart w:id="104" w:name="_Toc4135"/>
      <w:bookmarkStart w:id="105" w:name="_Toc16610"/>
      <w:bookmarkStart w:id="106" w:name="_Toc17693"/>
      <w:bookmarkStart w:id="107" w:name="_Toc7679"/>
      <w:bookmarkStart w:id="108" w:name="_Toc10180"/>
      <w:r>
        <w:rPr>
          <w:rFonts w:hint="eastAsia" w:ascii="宋体" w:hAnsi="宋体" w:cs="宋体"/>
          <w:color w:val="auto"/>
          <w:sz w:val="24"/>
          <w:szCs w:val="24"/>
        </w:rPr>
        <w:t>（一）响应单位基本情况表（以下为参考格式）</w:t>
      </w:r>
      <w:bookmarkEnd w:id="104"/>
      <w:bookmarkEnd w:id="105"/>
      <w:bookmarkEnd w:id="106"/>
      <w:bookmarkEnd w:id="107"/>
      <w:bookmarkEnd w:id="108"/>
    </w:p>
    <w:tbl>
      <w:tblPr>
        <w:tblStyle w:val="33"/>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响应单位名称</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注册资金</w:t>
            </w:r>
          </w:p>
        </w:tc>
        <w:tc>
          <w:tcPr>
            <w:tcW w:w="4019" w:type="dxa"/>
            <w:gridSpan w:val="3"/>
          </w:tcPr>
          <w:p>
            <w:pPr>
              <w:autoSpaceDE w:val="0"/>
              <w:autoSpaceDN w:val="0"/>
              <w:adjustRightInd w:val="0"/>
              <w:spacing w:line="360" w:lineRule="auto"/>
              <w:jc w:val="left"/>
              <w:rPr>
                <w:rFonts w:ascii="宋体" w:hAnsi="宋体" w:cs="宋体"/>
                <w:color w:val="auto"/>
                <w:szCs w:val="21"/>
              </w:rPr>
            </w:pPr>
          </w:p>
        </w:tc>
        <w:tc>
          <w:tcPr>
            <w:tcW w:w="1202" w:type="dxa"/>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成立时间</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注册地址</w:t>
            </w:r>
          </w:p>
        </w:tc>
        <w:tc>
          <w:tcPr>
            <w:tcW w:w="4019" w:type="dxa"/>
            <w:gridSpan w:val="3"/>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邮政编码</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联系方式</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联系人</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szCs w:val="21"/>
              </w:rPr>
            </w:pPr>
          </w:p>
        </w:tc>
        <w:tc>
          <w:tcPr>
            <w:tcW w:w="1077" w:type="dxa"/>
          </w:tcPr>
          <w:p>
            <w:pPr>
              <w:spacing w:line="360" w:lineRule="auto"/>
              <w:rPr>
                <w:rFonts w:ascii="宋体" w:hAnsi="宋体" w:cs="宋体"/>
                <w:color w:val="auto"/>
                <w:szCs w:val="21"/>
              </w:rPr>
            </w:pPr>
            <w:r>
              <w:rPr>
                <w:rFonts w:hint="eastAsia" w:ascii="宋体" w:hAnsi="宋体" w:cs="宋体"/>
                <w:color w:val="auto"/>
                <w:szCs w:val="21"/>
              </w:rPr>
              <w:t>传真</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网址</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rPr>
              <w:t>法定代表人</w:t>
            </w:r>
            <w:r>
              <w:rPr>
                <w:rFonts w:hint="eastAsia" w:ascii="宋体" w:hAnsi="宋体" w:cs="宋体"/>
                <w:color w:val="auto"/>
                <w:szCs w:val="21"/>
                <w:lang w:val="en-US" w:eastAsia="zh-CN"/>
              </w:rPr>
              <w:t>或单位负责人</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姓名</w:t>
            </w:r>
          </w:p>
        </w:tc>
        <w:tc>
          <w:tcPr>
            <w:tcW w:w="1803" w:type="dxa"/>
          </w:tcPr>
          <w:p>
            <w:pPr>
              <w:spacing w:line="360" w:lineRule="auto"/>
              <w:rPr>
                <w:rFonts w:ascii="宋体" w:hAnsi="宋体" w:cs="宋体"/>
                <w:color w:val="auto"/>
                <w:szCs w:val="21"/>
              </w:rPr>
            </w:pPr>
          </w:p>
        </w:tc>
        <w:tc>
          <w:tcPr>
            <w:tcW w:w="1139"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2811" w:type="dxa"/>
            <w:gridSpan w:val="2"/>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成立时间</w:t>
            </w:r>
          </w:p>
        </w:tc>
        <w:tc>
          <w:tcPr>
            <w:tcW w:w="2880" w:type="dxa"/>
            <w:gridSpan w:val="2"/>
          </w:tcPr>
          <w:p>
            <w:pPr>
              <w:spacing w:line="360" w:lineRule="auto"/>
              <w:rPr>
                <w:rFonts w:ascii="宋体" w:hAnsi="宋体" w:cs="宋体"/>
                <w:color w:val="auto"/>
                <w:szCs w:val="21"/>
              </w:rPr>
            </w:pPr>
          </w:p>
        </w:tc>
        <w:tc>
          <w:tcPr>
            <w:tcW w:w="3950" w:type="dxa"/>
            <w:gridSpan w:val="3"/>
          </w:tcPr>
          <w:p>
            <w:pPr>
              <w:spacing w:line="360" w:lineRule="auto"/>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开</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r>
              <w:rPr>
                <w:rFonts w:hint="eastAsia" w:ascii="宋体" w:hAnsi="宋体" w:cs="宋体"/>
                <w:color w:val="auto"/>
                <w:spacing w:val="-2"/>
                <w:kern w:val="0"/>
                <w:szCs w:val="21"/>
              </w:rPr>
              <w:t>账</w:t>
            </w:r>
            <w:r>
              <w:rPr>
                <w:rFonts w:hint="eastAsia" w:ascii="宋体" w:hAnsi="宋体" w:cs="宋体"/>
                <w:color w:val="auto"/>
                <w:kern w:val="0"/>
                <w:szCs w:val="21"/>
              </w:rPr>
              <w:t>号</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经营范围</w:t>
            </w:r>
          </w:p>
        </w:tc>
        <w:tc>
          <w:tcPr>
            <w:tcW w:w="6830" w:type="dxa"/>
            <w:gridSpan w:val="5"/>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6830" w:type="dxa"/>
            <w:gridSpan w:val="5"/>
          </w:tcPr>
          <w:p>
            <w:pPr>
              <w:spacing w:line="360" w:lineRule="auto"/>
              <w:ind w:firstLine="420" w:firstLineChars="200"/>
              <w:rPr>
                <w:rFonts w:ascii="宋体" w:hAnsi="宋体" w:cs="宋体"/>
                <w:color w:val="auto"/>
                <w:szCs w:val="21"/>
              </w:rPr>
            </w:pPr>
          </w:p>
        </w:tc>
      </w:tr>
    </w:tbl>
    <w:p>
      <w:pPr>
        <w:spacing w:line="360" w:lineRule="auto"/>
        <w:jc w:val="left"/>
        <w:rPr>
          <w:rFonts w:ascii="宋体" w:hAnsi="宋体" w:cs="宋体"/>
          <w:b/>
          <w:color w:val="auto"/>
          <w:szCs w:val="21"/>
        </w:rPr>
      </w:pPr>
      <w:r>
        <w:rPr>
          <w:rFonts w:hint="eastAsia" w:ascii="宋体" w:hAnsi="宋体" w:cs="宋体"/>
          <w:b/>
          <w:color w:val="auto"/>
          <w:szCs w:val="21"/>
        </w:rPr>
        <w:t>注： 响应单位应根据资格要求在本表后附相关证明材料。</w:t>
      </w:r>
    </w:p>
    <w:p>
      <w:pPr>
        <w:jc w:val="center"/>
        <w:outlineLvl w:val="2"/>
        <w:rPr>
          <w:rFonts w:ascii="宋体" w:hAnsi="宋体" w:cs="宋体"/>
          <w:b/>
          <w:bCs/>
          <w:color w:val="auto"/>
          <w:sz w:val="24"/>
        </w:rPr>
      </w:pPr>
      <w:r>
        <w:rPr>
          <w:rFonts w:hint="eastAsia" w:ascii="宋体" w:hAnsi="宋体" w:cs="宋体"/>
          <w:b/>
          <w:color w:val="auto"/>
        </w:rPr>
        <w:br w:type="page"/>
      </w:r>
      <w:bookmarkStart w:id="109" w:name="_Toc3073"/>
      <w:bookmarkStart w:id="110" w:name="_Toc4195"/>
      <w:r>
        <w:rPr>
          <w:rFonts w:hint="eastAsia" w:ascii="宋体" w:hAnsi="宋体" w:cs="宋体"/>
          <w:b/>
          <w:bCs/>
          <w:color w:val="auto"/>
          <w:sz w:val="24"/>
        </w:rPr>
        <w:t>（二）营业执照</w:t>
      </w:r>
      <w:bookmarkEnd w:id="109"/>
    </w:p>
    <w:p>
      <w:pPr>
        <w:jc w:val="center"/>
        <w:rPr>
          <w:rFonts w:ascii="宋体" w:hAnsi="宋体" w:cs="宋体"/>
          <w:b/>
          <w:bCs/>
          <w:color w:val="auto"/>
          <w:sz w:val="28"/>
          <w:szCs w:val="28"/>
        </w:rPr>
      </w:pPr>
      <w:r>
        <w:rPr>
          <w:rFonts w:ascii="宋体" w:hAnsi="宋体" w:cs="宋体"/>
          <w:b/>
          <w:bCs/>
          <w:color w:val="auto"/>
          <w:sz w:val="28"/>
          <w:szCs w:val="28"/>
        </w:rPr>
        <w:br w:type="page"/>
      </w:r>
    </w:p>
    <w:p>
      <w:pPr>
        <w:jc w:val="center"/>
        <w:outlineLvl w:val="2"/>
        <w:rPr>
          <w:rFonts w:ascii="宋体" w:hAnsi="宋体" w:cs="宋体"/>
          <w:b/>
          <w:bCs/>
          <w:color w:val="auto"/>
          <w:sz w:val="24"/>
        </w:rPr>
      </w:pPr>
      <w:bookmarkStart w:id="111" w:name="_Toc19912"/>
      <w:r>
        <w:rPr>
          <w:rFonts w:hint="eastAsia" w:ascii="宋体" w:hAnsi="宋体" w:cs="宋体"/>
          <w:b/>
          <w:bCs/>
          <w:color w:val="auto"/>
          <w:sz w:val="24"/>
        </w:rPr>
        <w:t>（三）</w:t>
      </w:r>
      <w:bookmarkEnd w:id="111"/>
      <w:r>
        <w:rPr>
          <w:rFonts w:hint="eastAsia" w:ascii="宋体" w:hAnsi="宋体" w:cs="宋体"/>
          <w:b/>
          <w:bCs/>
          <w:color w:val="auto"/>
          <w:sz w:val="24"/>
        </w:rPr>
        <w:t>生产证明（生产厂家提供）或授权书（经销商提供）</w:t>
      </w:r>
    </w:p>
    <w:p>
      <w:pPr>
        <w:numPr>
          <w:ilvl w:val="255"/>
          <w:numId w:val="0"/>
        </w:numPr>
        <w:jc w:val="center"/>
        <w:rPr>
          <w:rFonts w:ascii="宋体" w:hAnsi="宋体" w:cs="宋体"/>
          <w:color w:val="auto"/>
          <w:szCs w:val="21"/>
        </w:rPr>
      </w:pPr>
    </w:p>
    <w:p>
      <w:pPr>
        <w:numPr>
          <w:ilvl w:val="255"/>
          <w:numId w:val="0"/>
        </w:numPr>
        <w:jc w:val="center"/>
        <w:rPr>
          <w:rFonts w:ascii="宋体" w:hAnsi="宋体" w:cs="宋体"/>
          <w:color w:val="auto"/>
          <w:szCs w:val="21"/>
        </w:rPr>
      </w:pPr>
      <w:r>
        <w:rPr>
          <w:rFonts w:hint="eastAsia" w:ascii="宋体" w:hAnsi="宋体" w:cs="宋体"/>
          <w:color w:val="auto"/>
          <w:szCs w:val="21"/>
        </w:rPr>
        <w:t>格式自拟</w:t>
      </w:r>
    </w:p>
    <w:p>
      <w:pPr>
        <w:jc w:val="left"/>
        <w:rPr>
          <w:rFonts w:ascii="宋体" w:hAnsi="宋体" w:cs="宋体"/>
          <w:b/>
          <w:bCs/>
          <w:color w:val="auto"/>
          <w:sz w:val="28"/>
          <w:szCs w:val="28"/>
        </w:rPr>
      </w:pPr>
      <w:r>
        <w:rPr>
          <w:rFonts w:hint="eastAsia" w:ascii="宋体" w:hAnsi="宋体" w:cs="宋体"/>
          <w:b/>
          <w:bCs/>
          <w:color w:val="auto"/>
          <w:sz w:val="28"/>
          <w:szCs w:val="28"/>
        </w:rPr>
        <w:br w:type="page"/>
      </w:r>
    </w:p>
    <w:p>
      <w:pPr>
        <w:jc w:val="center"/>
        <w:outlineLvl w:val="2"/>
        <w:rPr>
          <w:rFonts w:ascii="宋体" w:hAnsi="宋体" w:cs="宋体"/>
          <w:b/>
          <w:bCs/>
          <w:color w:val="auto"/>
          <w:sz w:val="24"/>
        </w:rPr>
      </w:pPr>
      <w:bookmarkStart w:id="112" w:name="_Toc15422"/>
      <w:r>
        <w:rPr>
          <w:rFonts w:hint="eastAsia" w:ascii="宋体" w:hAnsi="宋体" w:cs="宋体"/>
          <w:b/>
          <w:bCs/>
          <w:color w:val="auto"/>
          <w:sz w:val="24"/>
        </w:rPr>
        <w:t>（四）业绩情况表（以下为参考格式）</w:t>
      </w:r>
      <w:bookmarkEnd w:id="110"/>
      <w:bookmarkEnd w:id="112"/>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rPr>
        <w:t>注：统计时间为202</w:t>
      </w:r>
      <w:r>
        <w:rPr>
          <w:rFonts w:hint="eastAsia" w:ascii="宋体" w:hAnsi="宋体" w:cs="宋体"/>
          <w:b/>
          <w:bCs/>
          <w:color w:val="auto"/>
          <w:lang w:val="en-US" w:eastAsia="zh-CN"/>
        </w:rPr>
        <w:t>0</w:t>
      </w:r>
      <w:r>
        <w:rPr>
          <w:rFonts w:hint="eastAsia" w:ascii="宋体" w:hAnsi="宋体" w:cs="宋体"/>
          <w:b/>
          <w:bCs/>
          <w:color w:val="auto"/>
        </w:rPr>
        <w:t>年1月1日以来，</w:t>
      </w:r>
      <w:r>
        <w:rPr>
          <w:rFonts w:hint="eastAsia" w:ascii="宋体" w:hAnsi="宋体" w:cs="宋体"/>
          <w:b/>
          <w:bCs/>
          <w:color w:val="auto"/>
          <w:szCs w:val="21"/>
        </w:rPr>
        <w:t>以合同签订时间为准，不少于3个类似项目业绩。</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产品名称及规格型号</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联</w:t>
            </w:r>
            <w:r>
              <w:rPr>
                <w:rFonts w:hint="eastAsia" w:ascii="宋体" w:hAnsi="宋体" w:cs="宋体"/>
                <w:color w:val="auto"/>
                <w:kern w:val="0"/>
                <w:szCs w:val="21"/>
              </w:rPr>
              <w:t>系</w:t>
            </w:r>
            <w:r>
              <w:rPr>
                <w:rFonts w:hint="eastAsia" w:ascii="宋体" w:hAnsi="宋体" w:cs="宋体"/>
                <w:color w:val="auto"/>
                <w:spacing w:val="-2"/>
                <w:kern w:val="0"/>
                <w:szCs w:val="21"/>
              </w:rPr>
              <w:t>人</w:t>
            </w:r>
            <w:r>
              <w:rPr>
                <w:rFonts w:hint="eastAsia" w:ascii="宋体" w:hAnsi="宋体" w:cs="宋体"/>
                <w:color w:val="auto"/>
                <w:kern w:val="0"/>
                <w:szCs w:val="21"/>
              </w:rPr>
              <w:t>及</w:t>
            </w:r>
            <w:r>
              <w:rPr>
                <w:rFonts w:hint="eastAsia" w:ascii="宋体" w:hAnsi="宋体" w:cs="宋体"/>
                <w:color w:val="auto"/>
                <w:spacing w:val="-2"/>
                <w:kern w:val="0"/>
                <w:szCs w:val="21"/>
              </w:rPr>
              <w:t>电</w:t>
            </w:r>
            <w:r>
              <w:rPr>
                <w:rFonts w:hint="eastAsia" w:ascii="宋体" w:hAnsi="宋体" w:cs="宋体"/>
                <w:color w:val="auto"/>
                <w:kern w:val="0"/>
                <w:szCs w:val="21"/>
              </w:rPr>
              <w:t>话</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价</w:t>
            </w:r>
            <w:r>
              <w:rPr>
                <w:rFonts w:hint="eastAsia" w:ascii="宋体" w:hAnsi="宋体" w:cs="宋体"/>
                <w:color w:val="auto"/>
                <w:kern w:val="0"/>
                <w:szCs w:val="21"/>
              </w:rPr>
              <w:t>格</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line="295" w:lineRule="auto"/>
              <w:ind w:right="108"/>
              <w:jc w:val="center"/>
              <w:rPr>
                <w:rFonts w:ascii="宋体" w:hAnsi="宋体" w:cs="宋体"/>
                <w:color w:val="auto"/>
                <w:kern w:val="0"/>
                <w:szCs w:val="21"/>
              </w:rPr>
            </w:pPr>
          </w:p>
          <w:p>
            <w:pPr>
              <w:autoSpaceDE w:val="0"/>
              <w:autoSpaceDN w:val="0"/>
              <w:adjustRightInd w:val="0"/>
              <w:spacing w:line="295" w:lineRule="auto"/>
              <w:ind w:right="108"/>
              <w:jc w:val="center"/>
              <w:rPr>
                <w:rFonts w:ascii="宋体" w:hAnsi="宋体" w:cs="宋体"/>
                <w:color w:val="auto"/>
                <w:szCs w:val="21"/>
              </w:rPr>
            </w:pPr>
            <w:r>
              <w:rPr>
                <w:rFonts w:hint="eastAsia" w:ascii="宋体" w:hAnsi="宋体" w:cs="宋体"/>
                <w:color w:val="auto"/>
                <w:kern w:val="0"/>
                <w:szCs w:val="21"/>
              </w:rPr>
              <w:t>项目</w:t>
            </w:r>
            <w:r>
              <w:rPr>
                <w:rFonts w:hint="eastAsia" w:ascii="宋体" w:hAnsi="宋体" w:cs="宋体"/>
                <w:color w:val="auto"/>
                <w:spacing w:val="-2"/>
                <w:kern w:val="0"/>
                <w:szCs w:val="21"/>
              </w:rPr>
              <w:t>概</w:t>
            </w:r>
            <w:r>
              <w:rPr>
                <w:rFonts w:hint="eastAsia" w:ascii="宋体" w:hAnsi="宋体" w:cs="宋体"/>
                <w:color w:val="auto"/>
                <w:kern w:val="0"/>
                <w:szCs w:val="21"/>
              </w:rPr>
              <w:t>况</w:t>
            </w:r>
            <w:r>
              <w:rPr>
                <w:rFonts w:hint="eastAsia" w:ascii="宋体" w:hAnsi="宋体" w:cs="宋体"/>
                <w:color w:val="auto"/>
                <w:spacing w:val="-2"/>
                <w:kern w:val="0"/>
                <w:szCs w:val="21"/>
              </w:rPr>
              <w:t>及</w:t>
            </w:r>
            <w:r>
              <w:rPr>
                <w:rFonts w:hint="eastAsia" w:ascii="宋体" w:hAnsi="宋体" w:cs="宋体"/>
                <w:color w:val="auto"/>
                <w:kern w:val="0"/>
                <w:szCs w:val="21"/>
              </w:rPr>
              <w:t>响应单位履约情况</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vAlign w:val="center"/>
          </w:tcPr>
          <w:p>
            <w:pPr>
              <w:spacing w:line="360" w:lineRule="auto"/>
              <w:ind w:firstLine="840" w:firstLineChars="400"/>
              <w:rPr>
                <w:rFonts w:ascii="宋体" w:hAnsi="宋体" w:cs="宋体"/>
                <w:color w:val="auto"/>
                <w:szCs w:val="21"/>
              </w:rPr>
            </w:pPr>
            <w:r>
              <w:rPr>
                <w:rFonts w:hint="eastAsia" w:ascii="宋体" w:hAnsi="宋体" w:cs="宋体"/>
                <w:color w:val="auto"/>
                <w:szCs w:val="21"/>
              </w:rPr>
              <w:t>备注</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b/>
          <w:bCs/>
          <w:color w:val="auto"/>
          <w:szCs w:val="21"/>
        </w:rPr>
      </w:pPr>
      <w:r>
        <w:rPr>
          <w:rFonts w:hint="eastAsia" w:ascii="宋体" w:hAnsi="宋体" w:cs="宋体"/>
          <w:b/>
          <w:bCs/>
          <w:color w:val="auto"/>
          <w:szCs w:val="21"/>
        </w:rPr>
        <w:t>备注：后附业绩合同。</w:t>
      </w:r>
    </w:p>
    <w:p>
      <w:pPr>
        <w:jc w:val="left"/>
        <w:rPr>
          <w:rFonts w:ascii="宋体" w:hAnsi="宋体" w:cs="宋体"/>
          <w:b/>
          <w:bCs/>
          <w:color w:val="auto"/>
          <w:sz w:val="30"/>
          <w:szCs w:val="30"/>
        </w:rPr>
      </w:pPr>
      <w:r>
        <w:rPr>
          <w:rFonts w:hint="eastAsia" w:ascii="宋体" w:hAnsi="宋体" w:cs="宋体"/>
          <w:color w:val="auto"/>
        </w:rPr>
        <w:br w:type="page"/>
      </w:r>
      <w:bookmarkStart w:id="113" w:name="_Toc4995"/>
      <w:bookmarkStart w:id="114" w:name="_Toc8961"/>
      <w:bookmarkStart w:id="115" w:name="_Toc29291"/>
      <w:bookmarkStart w:id="116" w:name="_Toc24357"/>
    </w:p>
    <w:bookmarkEnd w:id="113"/>
    <w:bookmarkEnd w:id="114"/>
    <w:bookmarkEnd w:id="115"/>
    <w:bookmarkEnd w:id="116"/>
    <w:p>
      <w:pPr>
        <w:jc w:val="center"/>
        <w:outlineLvl w:val="2"/>
        <w:rPr>
          <w:rFonts w:ascii="宋体" w:hAnsi="宋体" w:cs="宋体"/>
          <w:b/>
          <w:bCs/>
          <w:color w:val="auto"/>
          <w:sz w:val="24"/>
        </w:rPr>
      </w:pPr>
      <w:bookmarkStart w:id="117" w:name="_Toc17667"/>
      <w:bookmarkStart w:id="118" w:name="_Toc4073"/>
      <w:bookmarkStart w:id="119" w:name="_Toc7049"/>
      <w:bookmarkStart w:id="120" w:name="_Toc6910"/>
      <w:bookmarkStart w:id="121" w:name="_Toc15520"/>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）其他资料</w:t>
      </w:r>
      <w:bookmarkEnd w:id="117"/>
      <w:bookmarkEnd w:id="118"/>
      <w:bookmarkEnd w:id="119"/>
      <w:bookmarkEnd w:id="120"/>
      <w:bookmarkEnd w:id="121"/>
    </w:p>
    <w:p>
      <w:pPr>
        <w:autoSpaceDE w:val="0"/>
        <w:autoSpaceDN w:val="0"/>
        <w:adjustRightInd w:val="0"/>
        <w:spacing w:line="360" w:lineRule="auto"/>
        <w:jc w:val="left"/>
        <w:rPr>
          <w:rFonts w:ascii="宋体" w:hAnsi="宋体" w:cs="宋体"/>
          <w:b/>
          <w:bCs/>
          <w:color w:val="auto"/>
          <w:szCs w:val="21"/>
        </w:rPr>
      </w:pPr>
      <w:bookmarkStart w:id="122" w:name="_Toc10001"/>
      <w:bookmarkStart w:id="123" w:name="_Toc18403"/>
      <w:r>
        <w:rPr>
          <w:rFonts w:hint="eastAsia" w:ascii="宋体" w:hAnsi="宋体" w:cs="宋体"/>
          <w:b/>
          <w:bCs/>
          <w:color w:val="auto"/>
          <w:szCs w:val="21"/>
        </w:rPr>
        <w:t>（一）服务承诺</w:t>
      </w:r>
      <w:bookmarkEnd w:id="122"/>
      <w:bookmarkEnd w:id="123"/>
    </w:p>
    <w:p>
      <w:pPr>
        <w:pStyle w:val="50"/>
        <w:rPr>
          <w:rFonts w:ascii="宋体" w:hAnsi="宋体"/>
          <w:color w:val="auto"/>
          <w:szCs w:val="21"/>
        </w:rPr>
      </w:pPr>
    </w:p>
    <w:p>
      <w:pPr>
        <w:autoSpaceDE w:val="0"/>
        <w:autoSpaceDN w:val="0"/>
        <w:adjustRightInd w:val="0"/>
        <w:spacing w:line="360" w:lineRule="auto"/>
        <w:jc w:val="left"/>
        <w:rPr>
          <w:rFonts w:ascii="宋体" w:hAnsi="宋体" w:cs="宋体"/>
          <w:b/>
          <w:bCs/>
          <w:color w:val="auto"/>
          <w:szCs w:val="21"/>
        </w:rPr>
      </w:pPr>
      <w:bookmarkStart w:id="124" w:name="_Toc21314"/>
      <w:bookmarkStart w:id="125" w:name="_Toc14277"/>
      <w:r>
        <w:rPr>
          <w:rFonts w:hint="eastAsia" w:ascii="宋体" w:hAnsi="宋体" w:cs="宋体"/>
          <w:b/>
          <w:bCs/>
          <w:color w:val="auto"/>
          <w:szCs w:val="21"/>
        </w:rPr>
        <w:t>（二）所供货物技术规格说明书或其他能够证明所供货物技术规格符合采购需求的相关资料</w:t>
      </w:r>
    </w:p>
    <w:p>
      <w:pPr>
        <w:autoSpaceDE w:val="0"/>
        <w:autoSpaceDN w:val="0"/>
        <w:adjustRightInd w:val="0"/>
        <w:spacing w:line="360" w:lineRule="auto"/>
        <w:jc w:val="left"/>
        <w:rPr>
          <w:rFonts w:ascii="宋体" w:hAnsi="宋体" w:cs="宋体"/>
          <w:b/>
          <w:bCs/>
          <w:color w:val="auto"/>
          <w:szCs w:val="21"/>
        </w:rPr>
      </w:pPr>
    </w:p>
    <w:p>
      <w:pPr>
        <w:autoSpaceDE w:val="0"/>
        <w:autoSpaceDN w:val="0"/>
        <w:adjustRightInd w:val="0"/>
        <w:spacing w:line="360" w:lineRule="auto"/>
        <w:jc w:val="left"/>
        <w:rPr>
          <w:rFonts w:ascii="宋体" w:hAnsi="宋体" w:cs="宋体"/>
          <w:b/>
          <w:bCs/>
          <w:color w:val="auto"/>
          <w:szCs w:val="21"/>
        </w:rPr>
      </w:pPr>
      <w:r>
        <w:rPr>
          <w:rFonts w:hint="eastAsia" w:ascii="宋体" w:hAnsi="宋体" w:cs="宋体"/>
          <w:b/>
          <w:bCs/>
          <w:color w:val="auto"/>
          <w:szCs w:val="21"/>
        </w:rPr>
        <w:t>（三）响应单位认为应提供的其他资料</w:t>
      </w:r>
      <w:bookmarkEnd w:id="124"/>
      <w:bookmarkEnd w:id="125"/>
    </w:p>
    <w:p>
      <w:pPr>
        <w:autoSpaceDE w:val="0"/>
        <w:autoSpaceDN w:val="0"/>
        <w:adjustRightInd w:val="0"/>
        <w:spacing w:line="360" w:lineRule="auto"/>
        <w:rPr>
          <w:rFonts w:ascii="宋体" w:hAnsi="宋体" w:cs="宋体"/>
          <w:color w:val="auto"/>
          <w:kern w:val="0"/>
          <w:sz w:val="28"/>
          <w:szCs w:val="28"/>
        </w:rPr>
      </w:pPr>
    </w:p>
    <w:p>
      <w:pPr>
        <w:spacing w:line="400" w:lineRule="exact"/>
        <w:rPr>
          <w:rFonts w:ascii="宋体" w:hAnsi="宋体"/>
          <w:b/>
          <w:color w:val="auto"/>
          <w:sz w:val="24"/>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B0604020202020204"/>
    <w:charset w:val="86"/>
    <w:family w:val="modern"/>
    <w:pitch w:val="default"/>
    <w:sig w:usb0="00000000" w:usb1="00000000" w:usb2="00000000" w:usb3="00000000" w:csb0="00040000" w:csb1="00000000"/>
  </w:font>
  <w:font w:name="KaiTi_GB2312">
    <w:altName w:val="楷体"/>
    <w:panose1 w:val="020B0604020202020204"/>
    <w:charset w:val="86"/>
    <w:family w:val="modern"/>
    <w:pitch w:val="default"/>
    <w:sig w:usb0="00000000" w:usb1="00000000" w:usb2="00000010" w:usb3="00000000" w:csb0="00040000" w:csb1="00000000"/>
  </w:font>
  <w:font w:name="monospace">
    <w:altName w:val="Segoe Print"/>
    <w:panose1 w:val="020B0604020202020204"/>
    <w:charset w:val="00"/>
    <w:family w:val="auto"/>
    <w:pitch w:val="default"/>
    <w:sig w:usb0="00000000" w:usb1="00000000" w:usb2="00000000" w:usb3="00000000" w:csb0="00000000" w:csb1="00000000"/>
  </w:font>
  <w:font w:name="EU-F1">
    <w:altName w:val="宋体"/>
    <w:panose1 w:val="020B0604020202020204"/>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left w:val="none" w:color="auto" w:sz="0" w:space="4"/>
        <w:bottom w:val="none" w:color="auto" w:sz="0" w:space="1"/>
        <w:right w:val="none" w:color="auto" w:sz="0" w:space="4"/>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776C"/>
    <w:multiLevelType w:val="multilevel"/>
    <w:tmpl w:val="06BC776C"/>
    <w:lvl w:ilvl="0" w:tentative="0">
      <w:start w:val="1"/>
      <w:numFmt w:val="japaneseCounting"/>
      <w:lvlText w:val="第%1条"/>
      <w:lvlJc w:val="left"/>
      <w:pPr>
        <w:ind w:left="1245" w:hanging="765"/>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63904E33"/>
    <w:multiLevelType w:val="singleLevel"/>
    <w:tmpl w:val="63904E3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M2RkMzYxNGM0M2YyMDU2MmY0OTE2ZTgwNGQ4YTQifQ=="/>
  </w:docVars>
  <w:rsids>
    <w:rsidRoot w:val="00172A27"/>
    <w:rsid w:val="00006305"/>
    <w:rsid w:val="0000769B"/>
    <w:rsid w:val="000170D0"/>
    <w:rsid w:val="00064D29"/>
    <w:rsid w:val="00076BF8"/>
    <w:rsid w:val="00080B90"/>
    <w:rsid w:val="000A525F"/>
    <w:rsid w:val="000A6801"/>
    <w:rsid w:val="000B7601"/>
    <w:rsid w:val="000C28F8"/>
    <w:rsid w:val="000C507A"/>
    <w:rsid w:val="000F0BAA"/>
    <w:rsid w:val="000F3329"/>
    <w:rsid w:val="000F5434"/>
    <w:rsid w:val="001011E8"/>
    <w:rsid w:val="00115B71"/>
    <w:rsid w:val="001615AF"/>
    <w:rsid w:val="00172A27"/>
    <w:rsid w:val="00181473"/>
    <w:rsid w:val="0018692E"/>
    <w:rsid w:val="001A167E"/>
    <w:rsid w:val="001A28B7"/>
    <w:rsid w:val="001A60F5"/>
    <w:rsid w:val="001F2A86"/>
    <w:rsid w:val="00214DAB"/>
    <w:rsid w:val="00223BB4"/>
    <w:rsid w:val="00230E9E"/>
    <w:rsid w:val="002367BF"/>
    <w:rsid w:val="00242F8B"/>
    <w:rsid w:val="002456AE"/>
    <w:rsid w:val="002507E7"/>
    <w:rsid w:val="00255825"/>
    <w:rsid w:val="002568DE"/>
    <w:rsid w:val="002605D2"/>
    <w:rsid w:val="00280A35"/>
    <w:rsid w:val="00284246"/>
    <w:rsid w:val="002B0478"/>
    <w:rsid w:val="002C61F7"/>
    <w:rsid w:val="002D701E"/>
    <w:rsid w:val="002D7DFB"/>
    <w:rsid w:val="002E1EC6"/>
    <w:rsid w:val="00321423"/>
    <w:rsid w:val="00343CA4"/>
    <w:rsid w:val="00361B2E"/>
    <w:rsid w:val="0038047E"/>
    <w:rsid w:val="00384768"/>
    <w:rsid w:val="0038694E"/>
    <w:rsid w:val="003A30CA"/>
    <w:rsid w:val="003A6B66"/>
    <w:rsid w:val="003E7E60"/>
    <w:rsid w:val="003F7990"/>
    <w:rsid w:val="004018EB"/>
    <w:rsid w:val="00426482"/>
    <w:rsid w:val="00450547"/>
    <w:rsid w:val="00456338"/>
    <w:rsid w:val="0045669D"/>
    <w:rsid w:val="00475BAA"/>
    <w:rsid w:val="00496246"/>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B266F"/>
    <w:rsid w:val="006C75A1"/>
    <w:rsid w:val="00706CAA"/>
    <w:rsid w:val="007238E6"/>
    <w:rsid w:val="007244C2"/>
    <w:rsid w:val="00724617"/>
    <w:rsid w:val="00744D37"/>
    <w:rsid w:val="00771489"/>
    <w:rsid w:val="007F4154"/>
    <w:rsid w:val="00843F1B"/>
    <w:rsid w:val="00874D05"/>
    <w:rsid w:val="008753A2"/>
    <w:rsid w:val="00890195"/>
    <w:rsid w:val="008A7265"/>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B06D15"/>
    <w:rsid w:val="00B630E7"/>
    <w:rsid w:val="00B871D0"/>
    <w:rsid w:val="00BA443F"/>
    <w:rsid w:val="00BA6EB9"/>
    <w:rsid w:val="00BD2B8D"/>
    <w:rsid w:val="00BF17C6"/>
    <w:rsid w:val="00C00A84"/>
    <w:rsid w:val="00C07707"/>
    <w:rsid w:val="00C11035"/>
    <w:rsid w:val="00C43752"/>
    <w:rsid w:val="00C92DCF"/>
    <w:rsid w:val="00CB0D82"/>
    <w:rsid w:val="00CB5DB1"/>
    <w:rsid w:val="00CC640C"/>
    <w:rsid w:val="00CD6B23"/>
    <w:rsid w:val="00CE3992"/>
    <w:rsid w:val="00CF07E8"/>
    <w:rsid w:val="00CF1318"/>
    <w:rsid w:val="00D14ECB"/>
    <w:rsid w:val="00DA2D42"/>
    <w:rsid w:val="00DC19CB"/>
    <w:rsid w:val="00DD37E9"/>
    <w:rsid w:val="00DD599E"/>
    <w:rsid w:val="00E02B12"/>
    <w:rsid w:val="00E0553D"/>
    <w:rsid w:val="00E13DEF"/>
    <w:rsid w:val="00E30BE6"/>
    <w:rsid w:val="00E445D6"/>
    <w:rsid w:val="00E6284A"/>
    <w:rsid w:val="00E64E09"/>
    <w:rsid w:val="00E7413A"/>
    <w:rsid w:val="00E7698A"/>
    <w:rsid w:val="00E83FFF"/>
    <w:rsid w:val="00E856C6"/>
    <w:rsid w:val="00E9310C"/>
    <w:rsid w:val="00EA0E4A"/>
    <w:rsid w:val="00EB2A4D"/>
    <w:rsid w:val="00EF0AB2"/>
    <w:rsid w:val="00F24704"/>
    <w:rsid w:val="00F77034"/>
    <w:rsid w:val="00FA2F97"/>
    <w:rsid w:val="00FB1045"/>
    <w:rsid w:val="00FD734A"/>
    <w:rsid w:val="00FE4037"/>
    <w:rsid w:val="00FE764A"/>
    <w:rsid w:val="00FF335B"/>
    <w:rsid w:val="01541EA9"/>
    <w:rsid w:val="01B91D0C"/>
    <w:rsid w:val="01D429CB"/>
    <w:rsid w:val="020C167E"/>
    <w:rsid w:val="02313F99"/>
    <w:rsid w:val="025D08EA"/>
    <w:rsid w:val="026C6D7F"/>
    <w:rsid w:val="03101E00"/>
    <w:rsid w:val="03343D40"/>
    <w:rsid w:val="034A3564"/>
    <w:rsid w:val="03A9358B"/>
    <w:rsid w:val="03B12EFE"/>
    <w:rsid w:val="03C30BF7"/>
    <w:rsid w:val="03C9092D"/>
    <w:rsid w:val="041E22FB"/>
    <w:rsid w:val="04207E21"/>
    <w:rsid w:val="04277401"/>
    <w:rsid w:val="045B52FD"/>
    <w:rsid w:val="045B70AB"/>
    <w:rsid w:val="046E5030"/>
    <w:rsid w:val="048C3708"/>
    <w:rsid w:val="049251C3"/>
    <w:rsid w:val="04F024A9"/>
    <w:rsid w:val="05123C0E"/>
    <w:rsid w:val="05177A36"/>
    <w:rsid w:val="05A607FA"/>
    <w:rsid w:val="05CE0EF0"/>
    <w:rsid w:val="05D1592E"/>
    <w:rsid w:val="06007F0A"/>
    <w:rsid w:val="060A7835"/>
    <w:rsid w:val="06416476"/>
    <w:rsid w:val="06A44D39"/>
    <w:rsid w:val="06D575E9"/>
    <w:rsid w:val="06D87A25"/>
    <w:rsid w:val="06E415DA"/>
    <w:rsid w:val="071D6B54"/>
    <w:rsid w:val="07741D4C"/>
    <w:rsid w:val="07C136C9"/>
    <w:rsid w:val="07C17B6D"/>
    <w:rsid w:val="07D93108"/>
    <w:rsid w:val="082A5712"/>
    <w:rsid w:val="08470632"/>
    <w:rsid w:val="084C1B28"/>
    <w:rsid w:val="08533B3E"/>
    <w:rsid w:val="088F5575"/>
    <w:rsid w:val="08BA13ED"/>
    <w:rsid w:val="08E41D65"/>
    <w:rsid w:val="09062150"/>
    <w:rsid w:val="0923288D"/>
    <w:rsid w:val="09267C87"/>
    <w:rsid w:val="0932487E"/>
    <w:rsid w:val="09403318"/>
    <w:rsid w:val="0A6842D0"/>
    <w:rsid w:val="0A8B31A5"/>
    <w:rsid w:val="0A9D666F"/>
    <w:rsid w:val="0AF65D7F"/>
    <w:rsid w:val="0B09160F"/>
    <w:rsid w:val="0B1A381C"/>
    <w:rsid w:val="0B1B792C"/>
    <w:rsid w:val="0B244373"/>
    <w:rsid w:val="0B305D74"/>
    <w:rsid w:val="0B635783"/>
    <w:rsid w:val="0B8B64C8"/>
    <w:rsid w:val="0B903ADE"/>
    <w:rsid w:val="0BEB089A"/>
    <w:rsid w:val="0C510234"/>
    <w:rsid w:val="0CBE68F3"/>
    <w:rsid w:val="0CC55A09"/>
    <w:rsid w:val="0CDD0FA5"/>
    <w:rsid w:val="0CFB142B"/>
    <w:rsid w:val="0D0A6D44"/>
    <w:rsid w:val="0D0F41A3"/>
    <w:rsid w:val="0D3918E8"/>
    <w:rsid w:val="0D8C4ADB"/>
    <w:rsid w:val="0DD24882"/>
    <w:rsid w:val="0E1529C0"/>
    <w:rsid w:val="0E2B5D40"/>
    <w:rsid w:val="0E2D02CA"/>
    <w:rsid w:val="0E6D4627"/>
    <w:rsid w:val="0EEF3211"/>
    <w:rsid w:val="0EFF44A4"/>
    <w:rsid w:val="0F0F7410"/>
    <w:rsid w:val="0F607C6B"/>
    <w:rsid w:val="0F954379"/>
    <w:rsid w:val="0FBA381F"/>
    <w:rsid w:val="0FFC7994"/>
    <w:rsid w:val="104F277A"/>
    <w:rsid w:val="108F6A5A"/>
    <w:rsid w:val="10945E1E"/>
    <w:rsid w:val="10C14C73"/>
    <w:rsid w:val="10F5533D"/>
    <w:rsid w:val="116003F7"/>
    <w:rsid w:val="116E041E"/>
    <w:rsid w:val="118A35AA"/>
    <w:rsid w:val="118E0AC0"/>
    <w:rsid w:val="11A062E4"/>
    <w:rsid w:val="11A227BD"/>
    <w:rsid w:val="11C91AF8"/>
    <w:rsid w:val="12394ECF"/>
    <w:rsid w:val="12577FB5"/>
    <w:rsid w:val="125A4E46"/>
    <w:rsid w:val="125C471A"/>
    <w:rsid w:val="126B2BAF"/>
    <w:rsid w:val="132C67E2"/>
    <w:rsid w:val="13FB7F63"/>
    <w:rsid w:val="1447741C"/>
    <w:rsid w:val="145853B5"/>
    <w:rsid w:val="14587676"/>
    <w:rsid w:val="14A979BF"/>
    <w:rsid w:val="14C12F5A"/>
    <w:rsid w:val="15282FD9"/>
    <w:rsid w:val="152F4368"/>
    <w:rsid w:val="15340190"/>
    <w:rsid w:val="15981F0D"/>
    <w:rsid w:val="15C51757"/>
    <w:rsid w:val="15D05763"/>
    <w:rsid w:val="15F64E85"/>
    <w:rsid w:val="15FA2BC8"/>
    <w:rsid w:val="160E0421"/>
    <w:rsid w:val="163457FB"/>
    <w:rsid w:val="165C118C"/>
    <w:rsid w:val="167069E6"/>
    <w:rsid w:val="16797F90"/>
    <w:rsid w:val="169A3A63"/>
    <w:rsid w:val="16AD3796"/>
    <w:rsid w:val="16BF796D"/>
    <w:rsid w:val="16D90A2F"/>
    <w:rsid w:val="16E94C2C"/>
    <w:rsid w:val="16F137D5"/>
    <w:rsid w:val="17063FD3"/>
    <w:rsid w:val="173043C7"/>
    <w:rsid w:val="17583526"/>
    <w:rsid w:val="177C760C"/>
    <w:rsid w:val="177F771A"/>
    <w:rsid w:val="17A7532B"/>
    <w:rsid w:val="17B648CC"/>
    <w:rsid w:val="18062CAC"/>
    <w:rsid w:val="18124B59"/>
    <w:rsid w:val="185B5474"/>
    <w:rsid w:val="18982224"/>
    <w:rsid w:val="189D20EE"/>
    <w:rsid w:val="18BF7C5B"/>
    <w:rsid w:val="18E31B9B"/>
    <w:rsid w:val="19006747"/>
    <w:rsid w:val="19263CD4"/>
    <w:rsid w:val="1929387B"/>
    <w:rsid w:val="193E726F"/>
    <w:rsid w:val="19575C3B"/>
    <w:rsid w:val="197B5DCD"/>
    <w:rsid w:val="19A76CCF"/>
    <w:rsid w:val="19FB2BF1"/>
    <w:rsid w:val="1A1F7B24"/>
    <w:rsid w:val="1A2024D1"/>
    <w:rsid w:val="1A3471BD"/>
    <w:rsid w:val="1A424B3D"/>
    <w:rsid w:val="1A541C16"/>
    <w:rsid w:val="1A6E5932"/>
    <w:rsid w:val="1A7867B1"/>
    <w:rsid w:val="1A9058A9"/>
    <w:rsid w:val="1A9A68F5"/>
    <w:rsid w:val="1AA50C28"/>
    <w:rsid w:val="1B0911B7"/>
    <w:rsid w:val="1B1262BE"/>
    <w:rsid w:val="1B20009E"/>
    <w:rsid w:val="1B617245"/>
    <w:rsid w:val="1B8151F1"/>
    <w:rsid w:val="1BA042C4"/>
    <w:rsid w:val="1BA240A5"/>
    <w:rsid w:val="1BB11F7A"/>
    <w:rsid w:val="1BC46F6E"/>
    <w:rsid w:val="1C0D7E59"/>
    <w:rsid w:val="1C136593"/>
    <w:rsid w:val="1C3175E0"/>
    <w:rsid w:val="1CD53A47"/>
    <w:rsid w:val="1CE67A02"/>
    <w:rsid w:val="1CF0262F"/>
    <w:rsid w:val="1CFE39D9"/>
    <w:rsid w:val="1D012A8E"/>
    <w:rsid w:val="1D0D1432"/>
    <w:rsid w:val="1D167BBB"/>
    <w:rsid w:val="1D444728"/>
    <w:rsid w:val="1D85546D"/>
    <w:rsid w:val="1DB4365C"/>
    <w:rsid w:val="1DF223D6"/>
    <w:rsid w:val="1E032835"/>
    <w:rsid w:val="1E472722"/>
    <w:rsid w:val="1E4D585F"/>
    <w:rsid w:val="1EBA7398"/>
    <w:rsid w:val="1EFA1543"/>
    <w:rsid w:val="1F120F82"/>
    <w:rsid w:val="1F2E38E2"/>
    <w:rsid w:val="1F444EB4"/>
    <w:rsid w:val="1F4A512E"/>
    <w:rsid w:val="1F51312D"/>
    <w:rsid w:val="1F6966C8"/>
    <w:rsid w:val="1FF62AA0"/>
    <w:rsid w:val="200B0947"/>
    <w:rsid w:val="20303FD2"/>
    <w:rsid w:val="20612B05"/>
    <w:rsid w:val="20870093"/>
    <w:rsid w:val="20CA3197"/>
    <w:rsid w:val="20FC3C98"/>
    <w:rsid w:val="21025026"/>
    <w:rsid w:val="216562BA"/>
    <w:rsid w:val="21A8172A"/>
    <w:rsid w:val="22845BF4"/>
    <w:rsid w:val="22B47B9E"/>
    <w:rsid w:val="23326B00"/>
    <w:rsid w:val="233A2855"/>
    <w:rsid w:val="239C64AE"/>
    <w:rsid w:val="23B26890"/>
    <w:rsid w:val="23CB6163"/>
    <w:rsid w:val="2411341D"/>
    <w:rsid w:val="244F66AA"/>
    <w:rsid w:val="24681644"/>
    <w:rsid w:val="24855D52"/>
    <w:rsid w:val="24975A86"/>
    <w:rsid w:val="24B14A23"/>
    <w:rsid w:val="24EC5DD1"/>
    <w:rsid w:val="24F5112A"/>
    <w:rsid w:val="2504136D"/>
    <w:rsid w:val="252C4420"/>
    <w:rsid w:val="25AB7A3A"/>
    <w:rsid w:val="26357304"/>
    <w:rsid w:val="26720C2E"/>
    <w:rsid w:val="26BD5C77"/>
    <w:rsid w:val="26EA27E4"/>
    <w:rsid w:val="27174C5C"/>
    <w:rsid w:val="273870AC"/>
    <w:rsid w:val="273F48DE"/>
    <w:rsid w:val="27456260"/>
    <w:rsid w:val="2746092E"/>
    <w:rsid w:val="275163C0"/>
    <w:rsid w:val="275E288B"/>
    <w:rsid w:val="27637EA1"/>
    <w:rsid w:val="27A97FAA"/>
    <w:rsid w:val="27B62405"/>
    <w:rsid w:val="27D369DA"/>
    <w:rsid w:val="27D8088F"/>
    <w:rsid w:val="27D8263D"/>
    <w:rsid w:val="27F154AD"/>
    <w:rsid w:val="28795BCE"/>
    <w:rsid w:val="28BC5ABB"/>
    <w:rsid w:val="28ED3EC6"/>
    <w:rsid w:val="29736AC1"/>
    <w:rsid w:val="29B066E8"/>
    <w:rsid w:val="2A003518"/>
    <w:rsid w:val="2A2953D2"/>
    <w:rsid w:val="2A41271B"/>
    <w:rsid w:val="2A495A74"/>
    <w:rsid w:val="2A7272A2"/>
    <w:rsid w:val="2A882A39"/>
    <w:rsid w:val="2AEA4B61"/>
    <w:rsid w:val="2B02634F"/>
    <w:rsid w:val="2B165956"/>
    <w:rsid w:val="2B193B10"/>
    <w:rsid w:val="2B400C25"/>
    <w:rsid w:val="2B6A4317"/>
    <w:rsid w:val="2B9845BD"/>
    <w:rsid w:val="2BE92B8F"/>
    <w:rsid w:val="2C344B4A"/>
    <w:rsid w:val="2C3C763E"/>
    <w:rsid w:val="2C614984"/>
    <w:rsid w:val="2C7C4356"/>
    <w:rsid w:val="2CA62D0A"/>
    <w:rsid w:val="2CD048F0"/>
    <w:rsid w:val="2CE33F5E"/>
    <w:rsid w:val="2DB43204"/>
    <w:rsid w:val="2DEB20B7"/>
    <w:rsid w:val="2E13617D"/>
    <w:rsid w:val="2E2C36E3"/>
    <w:rsid w:val="2E335031"/>
    <w:rsid w:val="2E7352A8"/>
    <w:rsid w:val="2E7A5BF5"/>
    <w:rsid w:val="2E9625C8"/>
    <w:rsid w:val="2EA4771D"/>
    <w:rsid w:val="2EA74B17"/>
    <w:rsid w:val="2ECB6A58"/>
    <w:rsid w:val="2EDE4F9D"/>
    <w:rsid w:val="2EE63891"/>
    <w:rsid w:val="2EF7784D"/>
    <w:rsid w:val="2F0C120A"/>
    <w:rsid w:val="2F2055B5"/>
    <w:rsid w:val="2F432A92"/>
    <w:rsid w:val="2F4A3E20"/>
    <w:rsid w:val="2FD55A00"/>
    <w:rsid w:val="2FEE5C1B"/>
    <w:rsid w:val="30221FB4"/>
    <w:rsid w:val="30393E95"/>
    <w:rsid w:val="304E5B92"/>
    <w:rsid w:val="306D4C56"/>
    <w:rsid w:val="30734EE6"/>
    <w:rsid w:val="30A6777C"/>
    <w:rsid w:val="30D8545C"/>
    <w:rsid w:val="311B2CAA"/>
    <w:rsid w:val="318A49A8"/>
    <w:rsid w:val="319121DA"/>
    <w:rsid w:val="31921AAF"/>
    <w:rsid w:val="319770C5"/>
    <w:rsid w:val="32106417"/>
    <w:rsid w:val="32313F09"/>
    <w:rsid w:val="324460FF"/>
    <w:rsid w:val="32510F6F"/>
    <w:rsid w:val="32AE2918"/>
    <w:rsid w:val="332E5807"/>
    <w:rsid w:val="33661445"/>
    <w:rsid w:val="33A7004A"/>
    <w:rsid w:val="33AD3470"/>
    <w:rsid w:val="33B0446E"/>
    <w:rsid w:val="33EA2357"/>
    <w:rsid w:val="34030A42"/>
    <w:rsid w:val="34177AA4"/>
    <w:rsid w:val="341B3FDD"/>
    <w:rsid w:val="343E1A7A"/>
    <w:rsid w:val="348222AE"/>
    <w:rsid w:val="3489363D"/>
    <w:rsid w:val="34F82092"/>
    <w:rsid w:val="34FC051A"/>
    <w:rsid w:val="352D15CC"/>
    <w:rsid w:val="353A4937"/>
    <w:rsid w:val="354039AE"/>
    <w:rsid w:val="35417A73"/>
    <w:rsid w:val="35A40002"/>
    <w:rsid w:val="35BD6AB6"/>
    <w:rsid w:val="35C10BB4"/>
    <w:rsid w:val="35D73F34"/>
    <w:rsid w:val="360A60B7"/>
    <w:rsid w:val="361E6007"/>
    <w:rsid w:val="36391E9F"/>
    <w:rsid w:val="365E28A7"/>
    <w:rsid w:val="3667350A"/>
    <w:rsid w:val="36E7289C"/>
    <w:rsid w:val="36FB71FF"/>
    <w:rsid w:val="370074BA"/>
    <w:rsid w:val="372E04CB"/>
    <w:rsid w:val="37512C09"/>
    <w:rsid w:val="375F0685"/>
    <w:rsid w:val="37991DE9"/>
    <w:rsid w:val="37A94BF1"/>
    <w:rsid w:val="37BC2300"/>
    <w:rsid w:val="37F07337"/>
    <w:rsid w:val="37F350FE"/>
    <w:rsid w:val="38190834"/>
    <w:rsid w:val="388054A3"/>
    <w:rsid w:val="38F65019"/>
    <w:rsid w:val="39455658"/>
    <w:rsid w:val="39725527"/>
    <w:rsid w:val="39BA7DF4"/>
    <w:rsid w:val="3A0E0140"/>
    <w:rsid w:val="3A10210A"/>
    <w:rsid w:val="3A211C22"/>
    <w:rsid w:val="3A88343D"/>
    <w:rsid w:val="3A8D375B"/>
    <w:rsid w:val="3A9A240F"/>
    <w:rsid w:val="3AC62096"/>
    <w:rsid w:val="3B554279"/>
    <w:rsid w:val="3B5F50F7"/>
    <w:rsid w:val="3B662159"/>
    <w:rsid w:val="3B7E470F"/>
    <w:rsid w:val="3C1C08F2"/>
    <w:rsid w:val="3C6B3628"/>
    <w:rsid w:val="3C9C1A33"/>
    <w:rsid w:val="3CCA034E"/>
    <w:rsid w:val="3CD411CD"/>
    <w:rsid w:val="3D0A7925"/>
    <w:rsid w:val="3D355094"/>
    <w:rsid w:val="3D500867"/>
    <w:rsid w:val="3D695DB9"/>
    <w:rsid w:val="3D6A7D83"/>
    <w:rsid w:val="3D842BF3"/>
    <w:rsid w:val="3DBC05DF"/>
    <w:rsid w:val="3E147DEA"/>
    <w:rsid w:val="3E2148E6"/>
    <w:rsid w:val="3E6D0C73"/>
    <w:rsid w:val="3E995EF5"/>
    <w:rsid w:val="3EC314F9"/>
    <w:rsid w:val="3ED5122D"/>
    <w:rsid w:val="3EDB2CE7"/>
    <w:rsid w:val="3F0062A9"/>
    <w:rsid w:val="3F0538C0"/>
    <w:rsid w:val="3F8F3A5D"/>
    <w:rsid w:val="3F9C4784"/>
    <w:rsid w:val="3FB452E6"/>
    <w:rsid w:val="3FC4377B"/>
    <w:rsid w:val="3FD97BD2"/>
    <w:rsid w:val="3FE21E53"/>
    <w:rsid w:val="404B79F8"/>
    <w:rsid w:val="40550877"/>
    <w:rsid w:val="40955117"/>
    <w:rsid w:val="40D043A1"/>
    <w:rsid w:val="40F2256A"/>
    <w:rsid w:val="4106030D"/>
    <w:rsid w:val="415A08CA"/>
    <w:rsid w:val="416A7884"/>
    <w:rsid w:val="41790D24"/>
    <w:rsid w:val="41A75102"/>
    <w:rsid w:val="41CC4CA1"/>
    <w:rsid w:val="425D3019"/>
    <w:rsid w:val="428A23AE"/>
    <w:rsid w:val="42957651"/>
    <w:rsid w:val="42997141"/>
    <w:rsid w:val="42D24401"/>
    <w:rsid w:val="42FF2D1C"/>
    <w:rsid w:val="43455193"/>
    <w:rsid w:val="434D7F2B"/>
    <w:rsid w:val="435B2648"/>
    <w:rsid w:val="436F6BF6"/>
    <w:rsid w:val="438D63B9"/>
    <w:rsid w:val="43947908"/>
    <w:rsid w:val="43972F54"/>
    <w:rsid w:val="43996CCD"/>
    <w:rsid w:val="43CE5DFC"/>
    <w:rsid w:val="440A4093"/>
    <w:rsid w:val="440B0CC0"/>
    <w:rsid w:val="443F1622"/>
    <w:rsid w:val="4497145E"/>
    <w:rsid w:val="44B042CE"/>
    <w:rsid w:val="44D162A9"/>
    <w:rsid w:val="44F56185"/>
    <w:rsid w:val="452627E2"/>
    <w:rsid w:val="45304DBB"/>
    <w:rsid w:val="456B16B7"/>
    <w:rsid w:val="459E6DDC"/>
    <w:rsid w:val="45CC5137"/>
    <w:rsid w:val="45D15CEA"/>
    <w:rsid w:val="46283972"/>
    <w:rsid w:val="46283B01"/>
    <w:rsid w:val="462907DC"/>
    <w:rsid w:val="46537607"/>
    <w:rsid w:val="4674757D"/>
    <w:rsid w:val="467852BF"/>
    <w:rsid w:val="46B20D91"/>
    <w:rsid w:val="46B8390E"/>
    <w:rsid w:val="46C978C9"/>
    <w:rsid w:val="46CD4E7E"/>
    <w:rsid w:val="46D149CF"/>
    <w:rsid w:val="46D524CB"/>
    <w:rsid w:val="46FD739C"/>
    <w:rsid w:val="47AF2F63"/>
    <w:rsid w:val="47E73411"/>
    <w:rsid w:val="4800731A"/>
    <w:rsid w:val="4812704D"/>
    <w:rsid w:val="48A3630C"/>
    <w:rsid w:val="48CC27B1"/>
    <w:rsid w:val="490D6193"/>
    <w:rsid w:val="4928477D"/>
    <w:rsid w:val="495E69EE"/>
    <w:rsid w:val="49910989"/>
    <w:rsid w:val="49BC54C3"/>
    <w:rsid w:val="49D547D7"/>
    <w:rsid w:val="49ED38CE"/>
    <w:rsid w:val="4A635BBB"/>
    <w:rsid w:val="4A7A4B58"/>
    <w:rsid w:val="4AAC19DB"/>
    <w:rsid w:val="4AE07264"/>
    <w:rsid w:val="4AF40C8C"/>
    <w:rsid w:val="4B052E99"/>
    <w:rsid w:val="4B105AC6"/>
    <w:rsid w:val="4B1F5D09"/>
    <w:rsid w:val="4B35552D"/>
    <w:rsid w:val="4B3C4AFB"/>
    <w:rsid w:val="4B5A37A5"/>
    <w:rsid w:val="4B7C13AE"/>
    <w:rsid w:val="4B9A5908"/>
    <w:rsid w:val="4BB26B7D"/>
    <w:rsid w:val="4BBF1667"/>
    <w:rsid w:val="4C286E40"/>
    <w:rsid w:val="4C2E1BAA"/>
    <w:rsid w:val="4C474144"/>
    <w:rsid w:val="4C4E3170"/>
    <w:rsid w:val="4C5E0AB3"/>
    <w:rsid w:val="4C60482B"/>
    <w:rsid w:val="4C653EE8"/>
    <w:rsid w:val="4C6836E0"/>
    <w:rsid w:val="4C83051A"/>
    <w:rsid w:val="4C8E75EA"/>
    <w:rsid w:val="4CBD3A2C"/>
    <w:rsid w:val="4D13189E"/>
    <w:rsid w:val="4D5466FD"/>
    <w:rsid w:val="4D783BB0"/>
    <w:rsid w:val="4D825D11"/>
    <w:rsid w:val="4D8E7176"/>
    <w:rsid w:val="4D9E1AAF"/>
    <w:rsid w:val="4DDF3E76"/>
    <w:rsid w:val="4DE35714"/>
    <w:rsid w:val="4E0B4C6B"/>
    <w:rsid w:val="4E2E44B5"/>
    <w:rsid w:val="4E516B22"/>
    <w:rsid w:val="4E8D0DDB"/>
    <w:rsid w:val="4EA76741"/>
    <w:rsid w:val="4EC70B92"/>
    <w:rsid w:val="4EDF237F"/>
    <w:rsid w:val="4EFD0A57"/>
    <w:rsid w:val="4F0F5FDB"/>
    <w:rsid w:val="4F5E6CC5"/>
    <w:rsid w:val="4F624D5E"/>
    <w:rsid w:val="4F6B5F81"/>
    <w:rsid w:val="4FA03191"/>
    <w:rsid w:val="4FDA48F5"/>
    <w:rsid w:val="5006393C"/>
    <w:rsid w:val="501A2F43"/>
    <w:rsid w:val="50250266"/>
    <w:rsid w:val="50640F9D"/>
    <w:rsid w:val="50C27419"/>
    <w:rsid w:val="50F507E2"/>
    <w:rsid w:val="512E4EF8"/>
    <w:rsid w:val="512F2A1E"/>
    <w:rsid w:val="51312C3A"/>
    <w:rsid w:val="51440FBF"/>
    <w:rsid w:val="51583D23"/>
    <w:rsid w:val="51826FF2"/>
    <w:rsid w:val="51890380"/>
    <w:rsid w:val="51896DAA"/>
    <w:rsid w:val="519805C3"/>
    <w:rsid w:val="51A72EFC"/>
    <w:rsid w:val="51CB0999"/>
    <w:rsid w:val="51D20539"/>
    <w:rsid w:val="521D605D"/>
    <w:rsid w:val="522D1654"/>
    <w:rsid w:val="523734C2"/>
    <w:rsid w:val="525E35BB"/>
    <w:rsid w:val="526B5CD8"/>
    <w:rsid w:val="52741030"/>
    <w:rsid w:val="52E6344D"/>
    <w:rsid w:val="52ED2B91"/>
    <w:rsid w:val="532F31A9"/>
    <w:rsid w:val="534570D3"/>
    <w:rsid w:val="536C61AC"/>
    <w:rsid w:val="539B083F"/>
    <w:rsid w:val="53C5766A"/>
    <w:rsid w:val="53CB6D0F"/>
    <w:rsid w:val="53CC6C4A"/>
    <w:rsid w:val="53D17DBD"/>
    <w:rsid w:val="53FF0DCE"/>
    <w:rsid w:val="5406215C"/>
    <w:rsid w:val="540C7047"/>
    <w:rsid w:val="54766712"/>
    <w:rsid w:val="547C5F7A"/>
    <w:rsid w:val="5495703C"/>
    <w:rsid w:val="54D97F29"/>
    <w:rsid w:val="54E029AD"/>
    <w:rsid w:val="553D2FA2"/>
    <w:rsid w:val="55AF2380"/>
    <w:rsid w:val="55F04E72"/>
    <w:rsid w:val="56813D1C"/>
    <w:rsid w:val="56955A19"/>
    <w:rsid w:val="569C6DA8"/>
    <w:rsid w:val="574F7976"/>
    <w:rsid w:val="575E7811"/>
    <w:rsid w:val="576158FB"/>
    <w:rsid w:val="57A001D2"/>
    <w:rsid w:val="57D460CD"/>
    <w:rsid w:val="57D72034"/>
    <w:rsid w:val="57D936E4"/>
    <w:rsid w:val="57DA3D71"/>
    <w:rsid w:val="57E63A41"/>
    <w:rsid w:val="57E87A3A"/>
    <w:rsid w:val="580967CF"/>
    <w:rsid w:val="58296419"/>
    <w:rsid w:val="583152CE"/>
    <w:rsid w:val="585711D8"/>
    <w:rsid w:val="585B613C"/>
    <w:rsid w:val="58CD16C4"/>
    <w:rsid w:val="59282B75"/>
    <w:rsid w:val="5936059E"/>
    <w:rsid w:val="59682F71"/>
    <w:rsid w:val="59745DBA"/>
    <w:rsid w:val="59775C3D"/>
    <w:rsid w:val="597D0D6A"/>
    <w:rsid w:val="59913541"/>
    <w:rsid w:val="5999137D"/>
    <w:rsid w:val="59E7074B"/>
    <w:rsid w:val="59F14D15"/>
    <w:rsid w:val="59F36B5D"/>
    <w:rsid w:val="5A0031AA"/>
    <w:rsid w:val="5A3612C1"/>
    <w:rsid w:val="5A4F7C8D"/>
    <w:rsid w:val="5A737188"/>
    <w:rsid w:val="5ACE14FA"/>
    <w:rsid w:val="5B1C255F"/>
    <w:rsid w:val="5B3A6B8F"/>
    <w:rsid w:val="5B506506"/>
    <w:rsid w:val="5B6360E6"/>
    <w:rsid w:val="5B7E4CCE"/>
    <w:rsid w:val="5B98227D"/>
    <w:rsid w:val="5BA363E1"/>
    <w:rsid w:val="5BF3746A"/>
    <w:rsid w:val="5BF97111"/>
    <w:rsid w:val="5C1473E0"/>
    <w:rsid w:val="5C190BB2"/>
    <w:rsid w:val="5C2F421A"/>
    <w:rsid w:val="5C6520B7"/>
    <w:rsid w:val="5C8E0F41"/>
    <w:rsid w:val="5C9C5F03"/>
    <w:rsid w:val="5CF74D38"/>
    <w:rsid w:val="5D025301"/>
    <w:rsid w:val="5D0D6309"/>
    <w:rsid w:val="5D504038"/>
    <w:rsid w:val="5D821962"/>
    <w:rsid w:val="5DD369F6"/>
    <w:rsid w:val="5DDA73AD"/>
    <w:rsid w:val="5DDE1A54"/>
    <w:rsid w:val="5DEA385E"/>
    <w:rsid w:val="5DF43025"/>
    <w:rsid w:val="5DFB43B4"/>
    <w:rsid w:val="5E1642AA"/>
    <w:rsid w:val="5E5C017A"/>
    <w:rsid w:val="5EAE58CA"/>
    <w:rsid w:val="5F0C25F1"/>
    <w:rsid w:val="5F105C3D"/>
    <w:rsid w:val="5F1514A5"/>
    <w:rsid w:val="5F28567D"/>
    <w:rsid w:val="5F4E49B7"/>
    <w:rsid w:val="5F554022"/>
    <w:rsid w:val="5F5875E4"/>
    <w:rsid w:val="5F760AD8"/>
    <w:rsid w:val="5F9B640E"/>
    <w:rsid w:val="5FAF200F"/>
    <w:rsid w:val="5FB078DF"/>
    <w:rsid w:val="5FC0745B"/>
    <w:rsid w:val="5FCD1D80"/>
    <w:rsid w:val="5FCD3B2E"/>
    <w:rsid w:val="5FD924D3"/>
    <w:rsid w:val="600A6B30"/>
    <w:rsid w:val="60194FC5"/>
    <w:rsid w:val="60402552"/>
    <w:rsid w:val="607466A0"/>
    <w:rsid w:val="608677E9"/>
    <w:rsid w:val="6098413C"/>
    <w:rsid w:val="60AE7E03"/>
    <w:rsid w:val="60C3244F"/>
    <w:rsid w:val="60C767CF"/>
    <w:rsid w:val="6151078F"/>
    <w:rsid w:val="617F354E"/>
    <w:rsid w:val="621D54D8"/>
    <w:rsid w:val="6240329D"/>
    <w:rsid w:val="624102C0"/>
    <w:rsid w:val="62A212A2"/>
    <w:rsid w:val="62AC0373"/>
    <w:rsid w:val="62AD7971"/>
    <w:rsid w:val="62B2525D"/>
    <w:rsid w:val="62E33669"/>
    <w:rsid w:val="63190B09"/>
    <w:rsid w:val="631D301E"/>
    <w:rsid w:val="63316ACA"/>
    <w:rsid w:val="633B34A5"/>
    <w:rsid w:val="635C64F5"/>
    <w:rsid w:val="635F3637"/>
    <w:rsid w:val="63860BC4"/>
    <w:rsid w:val="639A466F"/>
    <w:rsid w:val="63B3128D"/>
    <w:rsid w:val="63B86D37"/>
    <w:rsid w:val="63F21AB6"/>
    <w:rsid w:val="640359B6"/>
    <w:rsid w:val="640C31DF"/>
    <w:rsid w:val="64300B2F"/>
    <w:rsid w:val="64360D65"/>
    <w:rsid w:val="643A56EC"/>
    <w:rsid w:val="643C5726"/>
    <w:rsid w:val="64610CA1"/>
    <w:rsid w:val="64B4710A"/>
    <w:rsid w:val="64D4770D"/>
    <w:rsid w:val="65363F24"/>
    <w:rsid w:val="655062D6"/>
    <w:rsid w:val="6558033E"/>
    <w:rsid w:val="655C6080"/>
    <w:rsid w:val="657C4CC0"/>
    <w:rsid w:val="65A13202"/>
    <w:rsid w:val="65C23A09"/>
    <w:rsid w:val="65DC2D1D"/>
    <w:rsid w:val="65E9543A"/>
    <w:rsid w:val="65F8742B"/>
    <w:rsid w:val="66472E4C"/>
    <w:rsid w:val="66527BAE"/>
    <w:rsid w:val="66B27F22"/>
    <w:rsid w:val="66C32B75"/>
    <w:rsid w:val="66C814F3"/>
    <w:rsid w:val="670F6AEF"/>
    <w:rsid w:val="675608AD"/>
    <w:rsid w:val="67580AC9"/>
    <w:rsid w:val="679A69EC"/>
    <w:rsid w:val="67F21FD7"/>
    <w:rsid w:val="67F87BB6"/>
    <w:rsid w:val="681744E0"/>
    <w:rsid w:val="68637725"/>
    <w:rsid w:val="688A0416"/>
    <w:rsid w:val="68A453EF"/>
    <w:rsid w:val="68D8091C"/>
    <w:rsid w:val="68F24605"/>
    <w:rsid w:val="690600B1"/>
    <w:rsid w:val="698C05B6"/>
    <w:rsid w:val="69B61FCC"/>
    <w:rsid w:val="69CC30A8"/>
    <w:rsid w:val="69DF2DDC"/>
    <w:rsid w:val="6A2E3D63"/>
    <w:rsid w:val="6A6B7DCB"/>
    <w:rsid w:val="6A6F25FC"/>
    <w:rsid w:val="6A8B4E17"/>
    <w:rsid w:val="6A9516EC"/>
    <w:rsid w:val="6ACB3360"/>
    <w:rsid w:val="6B2A62D8"/>
    <w:rsid w:val="6B43383E"/>
    <w:rsid w:val="6B831470"/>
    <w:rsid w:val="6B882FFF"/>
    <w:rsid w:val="6B8D6867"/>
    <w:rsid w:val="6BF56FBD"/>
    <w:rsid w:val="6BFC6487"/>
    <w:rsid w:val="6C197958"/>
    <w:rsid w:val="6C2E3BA6"/>
    <w:rsid w:val="6C5D0D4A"/>
    <w:rsid w:val="6CA43E69"/>
    <w:rsid w:val="6CB56076"/>
    <w:rsid w:val="6CCE0EE6"/>
    <w:rsid w:val="6CD96208"/>
    <w:rsid w:val="6CDA788A"/>
    <w:rsid w:val="6CF43042"/>
    <w:rsid w:val="6D2F407A"/>
    <w:rsid w:val="6D496BA3"/>
    <w:rsid w:val="6DA00AD4"/>
    <w:rsid w:val="6DAE1A03"/>
    <w:rsid w:val="6DC522E8"/>
    <w:rsid w:val="6DFA145A"/>
    <w:rsid w:val="6E11552E"/>
    <w:rsid w:val="6E184B0E"/>
    <w:rsid w:val="6E2F3C06"/>
    <w:rsid w:val="6E9F0D8B"/>
    <w:rsid w:val="6EA463A2"/>
    <w:rsid w:val="6ED30A35"/>
    <w:rsid w:val="6ED602AD"/>
    <w:rsid w:val="6EE35DD2"/>
    <w:rsid w:val="6EE57406"/>
    <w:rsid w:val="6F0B01CF"/>
    <w:rsid w:val="6F622251"/>
    <w:rsid w:val="6F8A1A3C"/>
    <w:rsid w:val="6FC00FB9"/>
    <w:rsid w:val="6FC06522"/>
    <w:rsid w:val="6FCB7F43"/>
    <w:rsid w:val="6FF80036"/>
    <w:rsid w:val="702C2AF3"/>
    <w:rsid w:val="7040034C"/>
    <w:rsid w:val="70414FB4"/>
    <w:rsid w:val="7047778A"/>
    <w:rsid w:val="704A4D27"/>
    <w:rsid w:val="707D50FC"/>
    <w:rsid w:val="70983CE4"/>
    <w:rsid w:val="713752AB"/>
    <w:rsid w:val="714D4ACF"/>
    <w:rsid w:val="715255C1"/>
    <w:rsid w:val="718801FD"/>
    <w:rsid w:val="71A566B9"/>
    <w:rsid w:val="72473C14"/>
    <w:rsid w:val="726B431E"/>
    <w:rsid w:val="727918F3"/>
    <w:rsid w:val="72800ED4"/>
    <w:rsid w:val="728409C4"/>
    <w:rsid w:val="7309711B"/>
    <w:rsid w:val="73223D39"/>
    <w:rsid w:val="73610D05"/>
    <w:rsid w:val="73AB3D2F"/>
    <w:rsid w:val="73C03C7E"/>
    <w:rsid w:val="73CF2113"/>
    <w:rsid w:val="73D2750D"/>
    <w:rsid w:val="74033B6B"/>
    <w:rsid w:val="740B2A1F"/>
    <w:rsid w:val="746D7B7F"/>
    <w:rsid w:val="748A30CF"/>
    <w:rsid w:val="748D1686"/>
    <w:rsid w:val="74CE5F27"/>
    <w:rsid w:val="74EA7EC8"/>
    <w:rsid w:val="750000AA"/>
    <w:rsid w:val="751F31E6"/>
    <w:rsid w:val="752B5127"/>
    <w:rsid w:val="75A924F0"/>
    <w:rsid w:val="75E659CC"/>
    <w:rsid w:val="76F87387"/>
    <w:rsid w:val="771A3C65"/>
    <w:rsid w:val="771D4F43"/>
    <w:rsid w:val="77400C32"/>
    <w:rsid w:val="77663C64"/>
    <w:rsid w:val="77BA4E88"/>
    <w:rsid w:val="784D1858"/>
    <w:rsid w:val="786F39BD"/>
    <w:rsid w:val="7879264D"/>
    <w:rsid w:val="78917997"/>
    <w:rsid w:val="78931961"/>
    <w:rsid w:val="78D330FA"/>
    <w:rsid w:val="78DB39F3"/>
    <w:rsid w:val="79607369"/>
    <w:rsid w:val="79667075"/>
    <w:rsid w:val="798474FC"/>
    <w:rsid w:val="79935991"/>
    <w:rsid w:val="79CB6ED9"/>
    <w:rsid w:val="79E66E3D"/>
    <w:rsid w:val="79FC7092"/>
    <w:rsid w:val="79FF6B82"/>
    <w:rsid w:val="7A26487D"/>
    <w:rsid w:val="7A574C10"/>
    <w:rsid w:val="7A710D0C"/>
    <w:rsid w:val="7A8157E9"/>
    <w:rsid w:val="7A8D23E0"/>
    <w:rsid w:val="7AB61937"/>
    <w:rsid w:val="7AC9574D"/>
    <w:rsid w:val="7AD149C3"/>
    <w:rsid w:val="7B474C85"/>
    <w:rsid w:val="7B5353D8"/>
    <w:rsid w:val="7B9559F0"/>
    <w:rsid w:val="7B9A4DB4"/>
    <w:rsid w:val="7C176405"/>
    <w:rsid w:val="7C627898"/>
    <w:rsid w:val="7C6333F8"/>
    <w:rsid w:val="7C9E08D4"/>
    <w:rsid w:val="7CD16028"/>
    <w:rsid w:val="7CD21FD7"/>
    <w:rsid w:val="7D1F6DB2"/>
    <w:rsid w:val="7D33726F"/>
    <w:rsid w:val="7D517A7E"/>
    <w:rsid w:val="7D63567A"/>
    <w:rsid w:val="7DAC5273"/>
    <w:rsid w:val="7DEE13E8"/>
    <w:rsid w:val="7E3A63DB"/>
    <w:rsid w:val="7E6862A6"/>
    <w:rsid w:val="7E9F0934"/>
    <w:rsid w:val="7EA5419C"/>
    <w:rsid w:val="7EA67F14"/>
    <w:rsid w:val="7EC71F5D"/>
    <w:rsid w:val="7ED109DE"/>
    <w:rsid w:val="7EE10F4C"/>
    <w:rsid w:val="7F54734D"/>
    <w:rsid w:val="7F567244"/>
    <w:rsid w:val="7F58120E"/>
    <w:rsid w:val="7F6C11ED"/>
    <w:rsid w:val="7F7156F9"/>
    <w:rsid w:val="7F9E2999"/>
    <w:rsid w:val="7FD81D7B"/>
    <w:rsid w:val="7FF058EB"/>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qFormat/>
    <w:uiPriority w:val="0"/>
    <w:pPr>
      <w:widowControl/>
      <w:ind w:firstLine="420"/>
      <w:jc w:val="left"/>
    </w:pPr>
    <w:rPr>
      <w:kern w:val="0"/>
      <w:sz w:val="20"/>
      <w:szCs w:val="20"/>
    </w:rPr>
  </w:style>
  <w:style w:type="paragraph" w:styleId="8">
    <w:name w:val="caption"/>
    <w:basedOn w:val="1"/>
    <w:next w:val="1"/>
    <w:qFormat/>
    <w:uiPriority w:val="0"/>
    <w:rPr>
      <w:rFonts w:ascii="Cambria" w:hAnsi="Cambria" w:eastAsia="黑体"/>
      <w:sz w:val="20"/>
      <w:szCs w:val="20"/>
    </w:rPr>
  </w:style>
  <w:style w:type="paragraph" w:styleId="9">
    <w:name w:val="annotation text"/>
    <w:basedOn w:val="1"/>
    <w:unhideWhenUsed/>
    <w:qFormat/>
    <w:uiPriority w:val="99"/>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pPr>
  </w:style>
  <w:style w:type="paragraph" w:styleId="12">
    <w:name w:val="Body Text 2"/>
    <w:basedOn w:val="1"/>
    <w:next w:val="11"/>
    <w:qFormat/>
    <w:uiPriority w:val="0"/>
    <w:pPr>
      <w:spacing w:line="360" w:lineRule="auto"/>
      <w:ind w:firstLine="420"/>
    </w:pPr>
    <w:rPr>
      <w:sz w:val="24"/>
      <w:szCs w:val="21"/>
    </w:rPr>
  </w:style>
  <w:style w:type="paragraph" w:styleId="13">
    <w:name w:val="Body Text Indent"/>
    <w:basedOn w:val="1"/>
    <w:next w:val="14"/>
    <w:qFormat/>
    <w:uiPriority w:val="0"/>
    <w:pPr>
      <w:ind w:firstLine="630"/>
    </w:pPr>
    <w:rPr>
      <w:rFonts w:eastAsia="FangSong_GB2312"/>
      <w:sz w:val="28"/>
      <w:szCs w:val="20"/>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8">
    <w:name w:val="Plain Text"/>
    <w:basedOn w:val="1"/>
    <w:link w:val="69"/>
    <w:qFormat/>
    <w:uiPriority w:val="0"/>
    <w:rPr>
      <w:rFonts w:ascii="宋体" w:hAnsi="Courier New"/>
      <w:szCs w:val="20"/>
    </w:rPr>
  </w:style>
  <w:style w:type="paragraph" w:styleId="1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30">
    <w:name w:val="Normal (Web)"/>
    <w:basedOn w:val="1"/>
    <w:semiHidden/>
    <w:unhideWhenUsed/>
    <w:qFormat/>
    <w:uiPriority w:val="99"/>
    <w:pPr>
      <w:spacing w:beforeAutospacing="1" w:afterAutospacing="1"/>
      <w:jc w:val="left"/>
    </w:pPr>
    <w:rPr>
      <w:kern w:val="0"/>
      <w:sz w:val="24"/>
    </w:rPr>
  </w:style>
  <w:style w:type="paragraph" w:styleId="31">
    <w:name w:val="Body Text First Indent"/>
    <w:basedOn w:val="11"/>
    <w:next w:val="32"/>
    <w:qFormat/>
    <w:uiPriority w:val="0"/>
    <w:pPr>
      <w:ind w:firstLine="420"/>
    </w:pPr>
    <w:rPr>
      <w:rFonts w:eastAsia="KaiTi_GB2312"/>
      <w:sz w:val="32"/>
    </w:rPr>
  </w:style>
  <w:style w:type="paragraph" w:styleId="32">
    <w:name w:val="Body Text First Indent 2"/>
    <w:basedOn w:val="1"/>
    <w:next w:val="1"/>
    <w:qFormat/>
    <w:uiPriority w:val="0"/>
    <w:pPr>
      <w:ind w:firstLine="420" w:firstLineChars="200"/>
    </w:pPr>
    <w:rPr>
      <w:rFonts w:ascii="FangSong_GB2312" w:hAnsi="FangSong_GB2312" w:eastAsia="FangSong_GB2312"/>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u w:val="none"/>
    </w:rPr>
  </w:style>
  <w:style w:type="character" w:styleId="39">
    <w:name w:val="Emphasis"/>
    <w:basedOn w:val="35"/>
    <w:qFormat/>
    <w:uiPriority w:val="20"/>
    <w:rPr>
      <w:b/>
    </w:rPr>
  </w:style>
  <w:style w:type="character" w:styleId="40">
    <w:name w:val="HTML Definition"/>
    <w:basedOn w:val="35"/>
    <w:semiHidden/>
    <w:unhideWhenUsed/>
    <w:qFormat/>
    <w:uiPriority w:val="99"/>
  </w:style>
  <w:style w:type="character" w:styleId="41">
    <w:name w:val="HTML Typewriter"/>
    <w:basedOn w:val="35"/>
    <w:semiHidden/>
    <w:unhideWhenUsed/>
    <w:qFormat/>
    <w:uiPriority w:val="99"/>
    <w:rPr>
      <w:rFonts w:hint="default" w:ascii="monospace" w:hAnsi="monospace" w:eastAsia="monospace" w:cs="monospace"/>
      <w:sz w:val="20"/>
    </w:rPr>
  </w:style>
  <w:style w:type="character" w:styleId="42">
    <w:name w:val="HTML Acronym"/>
    <w:basedOn w:val="35"/>
    <w:semiHidden/>
    <w:unhideWhenUsed/>
    <w:qFormat/>
    <w:uiPriority w:val="99"/>
  </w:style>
  <w:style w:type="character" w:styleId="43">
    <w:name w:val="HTML Variable"/>
    <w:basedOn w:val="35"/>
    <w:semiHidden/>
    <w:unhideWhenUsed/>
    <w:qFormat/>
    <w:uiPriority w:val="99"/>
  </w:style>
  <w:style w:type="character" w:styleId="44">
    <w:name w:val="Hyperlink"/>
    <w:basedOn w:val="35"/>
    <w:qFormat/>
    <w:uiPriority w:val="99"/>
    <w:rPr>
      <w:color w:val="0000FF"/>
      <w:u w:val="single"/>
    </w:rPr>
  </w:style>
  <w:style w:type="character" w:styleId="45">
    <w:name w:val="HTML Code"/>
    <w:basedOn w:val="35"/>
    <w:semiHidden/>
    <w:unhideWhenUsed/>
    <w:qFormat/>
    <w:uiPriority w:val="99"/>
    <w:rPr>
      <w:rFonts w:hint="default" w:ascii="monospace" w:hAnsi="monospace" w:eastAsia="monospace" w:cs="monospace"/>
      <w:sz w:val="20"/>
    </w:rPr>
  </w:style>
  <w:style w:type="character" w:styleId="46">
    <w:name w:val="annotation reference"/>
    <w:qFormat/>
    <w:uiPriority w:val="0"/>
    <w:rPr>
      <w:rFonts w:cs="Times New Roman"/>
      <w:sz w:val="21"/>
      <w:szCs w:val="21"/>
    </w:rPr>
  </w:style>
  <w:style w:type="character" w:styleId="47">
    <w:name w:val="HTML Cite"/>
    <w:basedOn w:val="35"/>
    <w:semiHidden/>
    <w:unhideWhenUsed/>
    <w:qFormat/>
    <w:uiPriority w:val="99"/>
  </w:style>
  <w:style w:type="character" w:styleId="48">
    <w:name w:val="HTML Keyboard"/>
    <w:basedOn w:val="35"/>
    <w:semiHidden/>
    <w:unhideWhenUsed/>
    <w:qFormat/>
    <w:uiPriority w:val="99"/>
    <w:rPr>
      <w:rFonts w:ascii="monospace" w:hAnsi="monospace" w:eastAsia="monospace" w:cs="monospace"/>
      <w:sz w:val="20"/>
    </w:rPr>
  </w:style>
  <w:style w:type="character" w:styleId="49">
    <w:name w:val="HTML Sample"/>
    <w:basedOn w:val="35"/>
    <w:semiHidden/>
    <w:unhideWhenUsed/>
    <w:qFormat/>
    <w:uiPriority w:val="99"/>
    <w:rPr>
      <w:rFonts w:hint="default" w:ascii="monospace" w:hAnsi="monospace" w:eastAsia="monospace" w:cs="monospace"/>
    </w:rPr>
  </w:style>
  <w:style w:type="paragraph" w:customStyle="1" w:styleId="50">
    <w:name w:val="无间隔1"/>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样式z1"/>
    <w:basedOn w:val="54"/>
    <w:qFormat/>
    <w:uiPriority w:val="0"/>
    <w:pPr>
      <w:spacing w:line="480" w:lineRule="auto"/>
      <w:jc w:val="left"/>
    </w:pPr>
    <w:rPr>
      <w:color w:val="auto"/>
    </w:rPr>
  </w:style>
  <w:style w:type="paragraph" w:customStyle="1" w:styleId="54">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5">
    <w:name w:val="样式 正文（首行缩进两字） + 宋体 小四"/>
    <w:basedOn w:val="7"/>
    <w:qFormat/>
    <w:uiPriority w:val="0"/>
    <w:pPr>
      <w:widowControl w:val="0"/>
      <w:spacing w:line="100" w:lineRule="atLeast"/>
      <w:ind w:firstLine="614" w:firstLineChars="192"/>
    </w:pPr>
    <w:rPr>
      <w:rFonts w:ascii="FangSong_GB2312" w:hAnsi="宋体" w:eastAsia="FangSong_GB2312"/>
      <w:kern w:val="2"/>
      <w:sz w:val="32"/>
    </w:rPr>
  </w:style>
  <w:style w:type="paragraph" w:customStyle="1" w:styleId="56">
    <w:name w:val="p18"/>
    <w:basedOn w:val="1"/>
    <w:qFormat/>
    <w:uiPriority w:val="0"/>
    <w:pPr>
      <w:widowControl/>
      <w:adjustRightInd w:val="0"/>
      <w:jc w:val="left"/>
    </w:pPr>
    <w:rPr>
      <w:rFonts w:ascii="宋体" w:hAnsi="宋体" w:cs="宋体"/>
      <w:color w:val="000000"/>
      <w:kern w:val="0"/>
      <w:sz w:val="24"/>
    </w:rPr>
  </w:style>
  <w:style w:type="paragraph" w:customStyle="1" w:styleId="57">
    <w:name w:val="样式z2"/>
    <w:basedOn w:val="2"/>
    <w:qFormat/>
    <w:uiPriority w:val="0"/>
    <w:pPr>
      <w:keepNext w:val="0"/>
      <w:spacing w:before="0" w:after="0" w:line="312" w:lineRule="exact"/>
    </w:pPr>
    <w:rPr>
      <w:rFonts w:eastAsia="黑体"/>
      <w:b w:val="0"/>
      <w:bCs w:val="0"/>
      <w:kern w:val="0"/>
      <w:sz w:val="21"/>
    </w:rPr>
  </w:style>
  <w:style w:type="paragraph" w:styleId="58">
    <w:name w:val="List Paragraph"/>
    <w:basedOn w:val="1"/>
    <w:qFormat/>
    <w:uiPriority w:val="99"/>
    <w:pPr>
      <w:ind w:firstLine="420" w:firstLineChars="200"/>
    </w:pPr>
    <w:rPr>
      <w:rFonts w:ascii="Calibri" w:hAnsi="Calibri"/>
      <w:szCs w:val="22"/>
    </w:rPr>
  </w:style>
  <w:style w:type="paragraph" w:customStyle="1" w:styleId="59">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60">
    <w:name w:val="表头"/>
    <w:basedOn w:val="1"/>
    <w:qFormat/>
    <w:uiPriority w:val="0"/>
    <w:pPr>
      <w:spacing w:before="160" w:after="60" w:line="312" w:lineRule="exact"/>
      <w:jc w:val="center"/>
    </w:pPr>
    <w:rPr>
      <w:rFonts w:ascii="EU-F1" w:eastAsia="黑体"/>
      <w:sz w:val="20"/>
      <w:szCs w:val="21"/>
    </w:rPr>
  </w:style>
  <w:style w:type="paragraph" w:customStyle="1" w:styleId="61">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3">
    <w:name w:val="Char"/>
    <w:basedOn w:val="1"/>
    <w:qFormat/>
    <w:uiPriority w:val="0"/>
    <w:rPr>
      <w:rFonts w:ascii="Tahoma" w:hAnsi="Tahoma"/>
      <w:sz w:val="24"/>
      <w:szCs w:val="20"/>
    </w:rPr>
  </w:style>
  <w:style w:type="paragraph" w:customStyle="1" w:styleId="64">
    <w:name w:val="表格文字"/>
    <w:basedOn w:val="1"/>
    <w:qFormat/>
    <w:uiPriority w:val="0"/>
    <w:pPr>
      <w:adjustRightInd w:val="0"/>
      <w:spacing w:line="420" w:lineRule="atLeast"/>
      <w:jc w:val="left"/>
      <w:textAlignment w:val="baseline"/>
    </w:pPr>
    <w:rPr>
      <w:kern w:val="0"/>
      <w:szCs w:val="20"/>
    </w:rPr>
  </w:style>
  <w:style w:type="paragraph" w:customStyle="1" w:styleId="6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67">
    <w:name w:val="Header Char"/>
    <w:basedOn w:val="35"/>
    <w:link w:val="22"/>
    <w:qFormat/>
    <w:uiPriority w:val="0"/>
    <w:rPr>
      <w:rFonts w:eastAsia="宋体"/>
      <w:kern w:val="2"/>
      <w:sz w:val="18"/>
      <w:szCs w:val="18"/>
      <w:lang w:val="en-US" w:eastAsia="zh-CN" w:bidi="ar-SA"/>
    </w:rPr>
  </w:style>
  <w:style w:type="character" w:customStyle="1" w:styleId="68">
    <w:name w:val="15"/>
    <w:qFormat/>
    <w:uiPriority w:val="0"/>
    <w:rPr>
      <w:rFonts w:hint="default" w:ascii="Times New Roman" w:hAnsi="Times New Roman" w:cs="Times New Roman"/>
      <w:color w:val="464445"/>
      <w:u w:val="none"/>
    </w:rPr>
  </w:style>
  <w:style w:type="character" w:customStyle="1" w:styleId="69">
    <w:name w:val="Plain Text Char"/>
    <w:link w:val="18"/>
    <w:qFormat/>
    <w:uiPriority w:val="0"/>
    <w:rPr>
      <w:rFonts w:ascii="宋体" w:hAnsi="Courier New"/>
      <w:kern w:val="2"/>
      <w:sz w:val="21"/>
    </w:rPr>
  </w:style>
  <w:style w:type="character" w:customStyle="1" w:styleId="70">
    <w:name w:val="未处理的提及1"/>
    <w:basedOn w:val="35"/>
    <w:semiHidden/>
    <w:unhideWhenUsed/>
    <w:qFormat/>
    <w:uiPriority w:val="99"/>
    <w:rPr>
      <w:color w:val="605E5C"/>
      <w:shd w:val="clear" w:color="auto" w:fill="E1DFDD"/>
    </w:rPr>
  </w:style>
  <w:style w:type="character" w:customStyle="1" w:styleId="71">
    <w:name w:val="time"/>
    <w:basedOn w:val="35"/>
    <w:qFormat/>
    <w:uiPriority w:val="0"/>
  </w:style>
  <w:style w:type="character" w:customStyle="1" w:styleId="72">
    <w:name w:val="hover1"/>
    <w:basedOn w:val="35"/>
    <w:qFormat/>
    <w:uiPriority w:val="0"/>
    <w:rPr>
      <w:color w:val="2590EB"/>
    </w:rPr>
  </w:style>
  <w:style w:type="character" w:customStyle="1" w:styleId="73">
    <w:name w:val="hover2"/>
    <w:basedOn w:val="35"/>
    <w:qFormat/>
    <w:uiPriority w:val="0"/>
    <w:rPr>
      <w:color w:val="2590EB"/>
    </w:rPr>
  </w:style>
  <w:style w:type="character" w:customStyle="1" w:styleId="74">
    <w:name w:val="hover3"/>
    <w:basedOn w:val="35"/>
    <w:qFormat/>
    <w:uiPriority w:val="0"/>
  </w:style>
  <w:style w:type="character" w:customStyle="1" w:styleId="75">
    <w:name w:val="status"/>
    <w:basedOn w:val="35"/>
    <w:qFormat/>
    <w:uiPriority w:val="0"/>
    <w:rPr>
      <w:color w:val="0776DD"/>
    </w:rPr>
  </w:style>
  <w:style w:type="character" w:customStyle="1" w:styleId="76">
    <w:name w:val="hover"/>
    <w:basedOn w:val="35"/>
    <w:qFormat/>
    <w:uiPriority w:val="0"/>
    <w:rPr>
      <w:color w:val="2590EB"/>
    </w:rPr>
  </w:style>
  <w:style w:type="paragraph" w:customStyle="1" w:styleId="77">
    <w:name w:val="表格字体-靠左"/>
    <w:basedOn w:val="78"/>
    <w:next w:val="1"/>
    <w:qFormat/>
    <w:uiPriority w:val="0"/>
    <w:pPr>
      <w:ind w:firstLine="280" w:firstLineChars="100"/>
      <w:jc w:val="left"/>
    </w:pPr>
  </w:style>
  <w:style w:type="paragraph" w:customStyle="1" w:styleId="78">
    <w:name w:val="表格字体-居中"/>
    <w:basedOn w:val="1"/>
    <w:next w:val="1"/>
    <w:qFormat/>
    <w:uiPriority w:val="0"/>
    <w:pPr>
      <w:jc w:val="center"/>
    </w:pPr>
    <w:rPr>
      <w:sz w:val="24"/>
    </w:rPr>
  </w:style>
  <w:style w:type="character" w:customStyle="1" w:styleId="79">
    <w:name w:val="NormalCharacter"/>
    <w:semiHidden/>
    <w:qFormat/>
    <w:uiPriority w:val="0"/>
    <w:rPr>
      <w:kern w:val="2"/>
      <w:sz w:val="21"/>
      <w:szCs w:val="24"/>
      <w:lang w:val="en-US" w:eastAsia="zh-CN" w:bidi="ar-SA"/>
    </w:rPr>
  </w:style>
  <w:style w:type="paragraph" w:customStyle="1" w:styleId="8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34</Pages>
  <Words>2198</Words>
  <Characters>12530</Characters>
  <Lines>104</Lines>
  <Paragraphs>29</Paragraphs>
  <TotalTime>2</TotalTime>
  <ScaleCrop>false</ScaleCrop>
  <LinksUpToDate>false</LinksUpToDate>
  <CharactersWithSpaces>14699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2011-11-08T19:59:00Z</dcterms:created>
  <dc:creator>微软用户</dc:creator>
  <cp:lastModifiedBy>一 一</cp:lastModifiedBy>
  <cp:lastPrinted>2021-10-21T02:59:00Z</cp:lastPrinted>
  <dcterms:modified xsi:type="dcterms:W3CDTF">2023-11-23T02:02:30Z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6CFAC72582754C73873207B1EEC47139_13</vt:lpwstr>
  </property>
</Properties>
</file>