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AA739">
      <w:pPr>
        <w:jc w:val="center"/>
        <w:rPr>
          <w:rFonts w:hint="eastAsia" w:ascii="黑体" w:hAnsi="黑体" w:eastAsia="黑体" w:cs="黑体"/>
          <w:sz w:val="32"/>
          <w:szCs w:val="32"/>
        </w:rPr>
      </w:pPr>
      <w:bookmarkStart w:id="0" w:name="_GoBack"/>
      <w:r>
        <w:rPr>
          <w:rFonts w:hint="eastAsia" w:ascii="黑体" w:hAnsi="黑体" w:eastAsia="黑体" w:cs="黑体"/>
          <w:sz w:val="32"/>
          <w:szCs w:val="32"/>
        </w:rPr>
        <w:t>供电营业区及分支机构</w:t>
      </w:r>
    </w:p>
    <w:bookmarkEnd w:id="0"/>
    <w:tbl>
      <w:tblPr>
        <w:tblStyle w:val="3"/>
        <w:tblW w:w="0" w:type="auto"/>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106"/>
        <w:gridCol w:w="6426"/>
      </w:tblGrid>
      <w:tr w14:paraId="43E1D709">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2091" w:type="dxa"/>
            <w:gridSpan w:val="2"/>
            <w:noWrap w:val="0"/>
            <w:vAlign w:val="center"/>
          </w:tcPr>
          <w:p w14:paraId="61D6E818">
            <w:pPr>
              <w:jc w:val="center"/>
              <w:rPr>
                <w:rFonts w:hint="eastAsia" w:ascii="黑体" w:hAnsi="黑体" w:eastAsia="黑体" w:cs="黑体"/>
                <w:kern w:val="0"/>
                <w:sz w:val="24"/>
                <w:szCs w:val="24"/>
              </w:rPr>
            </w:pPr>
            <w:r>
              <w:rPr>
                <w:rFonts w:hint="eastAsia" w:ascii="黑体" w:hAnsi="黑体" w:eastAsia="黑体" w:cs="黑体"/>
                <w:kern w:val="0"/>
                <w:sz w:val="24"/>
                <w:szCs w:val="24"/>
              </w:rPr>
              <w:t>供电营业区</w:t>
            </w:r>
          </w:p>
          <w:p w14:paraId="697E125C">
            <w:pPr>
              <w:jc w:val="center"/>
              <w:rPr>
                <w:rFonts w:hint="eastAsia" w:ascii="黑体" w:hAnsi="黑体" w:eastAsia="黑体" w:cs="黑体"/>
                <w:kern w:val="0"/>
                <w:sz w:val="24"/>
                <w:szCs w:val="24"/>
              </w:rPr>
            </w:pPr>
            <w:r>
              <w:rPr>
                <w:rFonts w:hint="eastAsia" w:ascii="黑体" w:hAnsi="黑体" w:eastAsia="黑体" w:cs="黑体"/>
                <w:kern w:val="0"/>
                <w:sz w:val="24"/>
                <w:szCs w:val="24"/>
              </w:rPr>
              <w:t>划分情况说明</w:t>
            </w:r>
          </w:p>
        </w:tc>
        <w:tc>
          <w:tcPr>
            <w:tcW w:w="6426" w:type="dxa"/>
            <w:noWrap w:val="0"/>
            <w:vAlign w:val="center"/>
          </w:tcPr>
          <w:p w14:paraId="45E15D63">
            <w:pPr>
              <w:jc w:val="left"/>
              <w:rPr>
                <w:rFonts w:hint="eastAsia" w:ascii="黑体" w:hAnsi="黑体" w:eastAsia="黑体" w:cs="黑体"/>
                <w:sz w:val="24"/>
              </w:rPr>
            </w:pPr>
          </w:p>
          <w:p w14:paraId="18AB503D">
            <w:pPr>
              <w:jc w:val="left"/>
              <w:rPr>
                <w:rFonts w:hint="eastAsia" w:ascii="黑体" w:hAnsi="黑体" w:eastAsia="黑体" w:cs="黑体"/>
                <w:sz w:val="24"/>
              </w:rPr>
            </w:pPr>
          </w:p>
          <w:p w14:paraId="5B34A49C">
            <w:pPr>
              <w:snapToGrid/>
              <w:spacing w:line="240" w:lineRule="auto"/>
            </w:pPr>
            <w:r>
              <w:rPr>
                <w:rFonts w:ascii="黑体" w:hAnsi="黑体" w:eastAsia="黑体" w:cs="黑体"/>
                <w:i w:val="0"/>
                <w:strike w:val="0"/>
                <w:spacing w:val="0"/>
                <w:sz w:val="24"/>
                <w:u w:val="none"/>
              </w:rPr>
              <w:t>负责实验区南海大道以北、洪泽湖大道以南、京港澳高速公路以东、青州大道以西面积约330平方公里220千伏及以下电压等级增量配电网的建设、运营、维护任务。</w:t>
            </w:r>
          </w:p>
          <w:p w14:paraId="3BFF3B0A">
            <w:pPr>
              <w:jc w:val="left"/>
              <w:rPr>
                <w:rFonts w:hint="eastAsia" w:ascii="黑体" w:hAnsi="黑体" w:eastAsia="黑体" w:cs="黑体"/>
                <w:sz w:val="24"/>
              </w:rPr>
            </w:pPr>
          </w:p>
        </w:tc>
      </w:tr>
      <w:tr w14:paraId="4A4E4ACB">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091" w:type="dxa"/>
            <w:gridSpan w:val="2"/>
            <w:noWrap w:val="0"/>
            <w:vAlign w:val="center"/>
          </w:tcPr>
          <w:p w14:paraId="532ED048">
            <w:pPr>
              <w:jc w:val="center"/>
              <w:rPr>
                <w:rFonts w:hint="eastAsia" w:ascii="黑体" w:hAnsi="黑体" w:eastAsia="黑体" w:cs="黑体"/>
                <w:sz w:val="24"/>
              </w:rPr>
            </w:pPr>
            <w:r>
              <w:rPr>
                <w:rFonts w:hint="eastAsia" w:ascii="黑体" w:hAnsi="黑体" w:eastAsia="黑体" w:cs="黑体"/>
                <w:sz w:val="24"/>
              </w:rPr>
              <w:t>营业区级别</w:t>
            </w:r>
          </w:p>
        </w:tc>
        <w:tc>
          <w:tcPr>
            <w:tcW w:w="6426" w:type="dxa"/>
            <w:noWrap w:val="0"/>
            <w:vAlign w:val="center"/>
          </w:tcPr>
          <w:p w14:paraId="28D263FD">
            <w:pPr>
              <w:jc w:val="left"/>
              <w:rPr>
                <w:rFonts w:hint="eastAsia" w:ascii="黑体" w:hAnsi="黑体" w:eastAsia="黑体" w:cs="黑体"/>
                <w:sz w:val="24"/>
              </w:rPr>
            </w:pPr>
            <w:r>
              <w:rPr>
                <w:rFonts w:hint="eastAsia" w:ascii="黑体" w:hAnsi="黑体" w:eastAsia="黑体" w:cs="黑体"/>
                <w:sz w:val="24"/>
              </w:rPr>
              <w:sym w:font="Wingdings 2" w:char="00A3"/>
            </w:r>
            <w:r>
              <w:rPr>
                <w:rFonts w:hint="eastAsia" w:ascii="黑体" w:hAnsi="黑体" w:eastAsia="黑体" w:cs="黑体"/>
                <w:sz w:val="24"/>
              </w:rPr>
              <w:t xml:space="preserve">省级   </w:t>
            </w:r>
            <w:r>
              <w:rPr>
                <w:rFonts w:hint="eastAsia" w:ascii="黑体" w:hAnsi="黑体" w:eastAsia="黑体" w:cs="黑体"/>
                <w:sz w:val="24"/>
              </w:rPr>
              <w:sym w:font="Wingdings 2" w:char="0052"/>
            </w:r>
            <w:r>
              <w:rPr>
                <w:rFonts w:hint="eastAsia" w:ascii="黑体" w:hAnsi="黑体" w:eastAsia="黑体" w:cs="黑体"/>
                <w:sz w:val="24"/>
              </w:rPr>
              <w:t xml:space="preserve">地（市）级   </w:t>
            </w:r>
            <w:r>
              <w:rPr>
                <w:rFonts w:hint="eastAsia" w:ascii="黑体" w:hAnsi="黑体" w:eastAsia="黑体" w:cs="黑体"/>
                <w:sz w:val="24"/>
              </w:rPr>
              <w:sym w:font="Wingdings 2" w:char="00A3"/>
            </w:r>
            <w:r>
              <w:rPr>
                <w:rFonts w:hint="eastAsia" w:ascii="黑体" w:hAnsi="黑体" w:eastAsia="黑体" w:cs="黑体"/>
                <w:sz w:val="24"/>
              </w:rPr>
              <w:t xml:space="preserve">区（县）级    </w:t>
            </w:r>
          </w:p>
        </w:tc>
      </w:tr>
      <w:tr w14:paraId="029EA889">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091" w:type="dxa"/>
            <w:gridSpan w:val="2"/>
            <w:noWrap w:val="0"/>
            <w:vAlign w:val="center"/>
          </w:tcPr>
          <w:p w14:paraId="3758B9C2">
            <w:pPr>
              <w:jc w:val="center"/>
              <w:rPr>
                <w:rFonts w:hint="eastAsia" w:ascii="黑体" w:hAnsi="黑体" w:eastAsia="黑体" w:cs="黑体"/>
                <w:kern w:val="0"/>
                <w:sz w:val="24"/>
                <w:szCs w:val="24"/>
              </w:rPr>
            </w:pPr>
            <w:r>
              <w:rPr>
                <w:rFonts w:hint="eastAsia" w:ascii="黑体" w:hAnsi="黑体" w:eastAsia="黑体" w:cs="黑体"/>
                <w:kern w:val="0"/>
                <w:sz w:val="24"/>
                <w:szCs w:val="24"/>
              </w:rPr>
              <w:t>所属地区</w:t>
            </w:r>
          </w:p>
        </w:tc>
        <w:tc>
          <w:tcPr>
            <w:tcW w:w="6426" w:type="dxa"/>
            <w:noWrap w:val="0"/>
            <w:vAlign w:val="center"/>
          </w:tcPr>
          <w:p w14:paraId="1C328FF1">
            <w:pPr>
              <w:jc w:val="left"/>
              <w:rPr>
                <w:rFonts w:hint="eastAsia" w:ascii="黑体" w:hAnsi="黑体" w:eastAsia="黑体" w:cs="黑体"/>
                <w:sz w:val="24"/>
              </w:rPr>
            </w:pPr>
            <w:r>
              <w:rPr>
                <w:rFonts w:hint="eastAsia" w:ascii="黑体" w:hAnsi="黑体" w:eastAsia="黑体" w:cs="黑体"/>
                <w:sz w:val="24"/>
                <w:u w:val="single"/>
              </w:rPr>
              <w:t xml:space="preserve">    </w:t>
            </w:r>
            <w:r>
              <w:rPr>
                <w:rFonts w:hint="eastAsia" w:ascii="黑体" w:hAnsi="黑体" w:eastAsia="黑体" w:cs="黑体"/>
                <w:sz w:val="24"/>
                <w:u w:val="single"/>
                <w:lang w:val="en-US" w:eastAsia="zh-CN"/>
              </w:rPr>
              <w:t>河南</w:t>
            </w:r>
            <w:r>
              <w:rPr>
                <w:rFonts w:hint="eastAsia" w:ascii="黑体" w:hAnsi="黑体" w:eastAsia="黑体" w:cs="黑体"/>
                <w:sz w:val="24"/>
                <w:u w:val="single"/>
              </w:rPr>
              <w:t xml:space="preserve">   </w:t>
            </w:r>
            <w:r>
              <w:rPr>
                <w:rFonts w:hint="eastAsia" w:ascii="黑体" w:hAnsi="黑体" w:eastAsia="黑体" w:cs="黑体"/>
                <w:sz w:val="24"/>
              </w:rPr>
              <w:t>省</w:t>
            </w:r>
            <w:r>
              <w:rPr>
                <w:rFonts w:hint="eastAsia" w:ascii="黑体" w:hAnsi="黑体" w:eastAsia="黑体" w:cs="黑体"/>
                <w:sz w:val="24"/>
                <w:u w:val="single"/>
              </w:rPr>
              <w:t xml:space="preserve">   </w:t>
            </w:r>
            <w:r>
              <w:rPr>
                <w:rFonts w:hint="eastAsia" w:ascii="黑体" w:hAnsi="黑体" w:eastAsia="黑体" w:cs="黑体"/>
                <w:sz w:val="24"/>
                <w:u w:val="single"/>
                <w:lang w:val="en-US" w:eastAsia="zh-CN"/>
              </w:rPr>
              <w:t>郑州</w:t>
            </w:r>
            <w:r>
              <w:rPr>
                <w:rFonts w:hint="eastAsia" w:ascii="黑体" w:hAnsi="黑体" w:eastAsia="黑体" w:cs="黑体"/>
                <w:sz w:val="24"/>
                <w:u w:val="single"/>
              </w:rPr>
              <w:t xml:space="preserve">  </w:t>
            </w:r>
            <w:r>
              <w:rPr>
                <w:rFonts w:hint="eastAsia" w:ascii="黑体" w:hAnsi="黑体" w:eastAsia="黑体" w:cs="黑体"/>
                <w:sz w:val="24"/>
              </w:rPr>
              <w:t xml:space="preserve">市 </w:t>
            </w:r>
            <w:r>
              <w:rPr>
                <w:rFonts w:hint="eastAsia" w:ascii="黑体" w:hAnsi="黑体" w:eastAsia="黑体" w:cs="黑体"/>
                <w:sz w:val="24"/>
                <w:u w:val="single"/>
              </w:rPr>
              <w:t xml:space="preserve">  </w:t>
            </w:r>
            <w:r>
              <w:rPr>
                <w:rFonts w:hint="eastAsia" w:ascii="黑体" w:hAnsi="黑体" w:eastAsia="黑体" w:cs="黑体"/>
                <w:sz w:val="24"/>
                <w:u w:val="single"/>
                <w:lang w:val="en-US" w:eastAsia="zh-CN"/>
              </w:rPr>
              <w:t>航空港</w:t>
            </w:r>
            <w:r>
              <w:rPr>
                <w:rFonts w:hint="eastAsia" w:ascii="黑体" w:hAnsi="黑体" w:eastAsia="黑体" w:cs="黑体"/>
                <w:sz w:val="24"/>
                <w:u w:val="single"/>
              </w:rPr>
              <w:t xml:space="preserve"> </w:t>
            </w:r>
            <w:r>
              <w:rPr>
                <w:rFonts w:hint="eastAsia" w:ascii="黑体" w:hAnsi="黑体" w:eastAsia="黑体" w:cs="黑体"/>
                <w:sz w:val="24"/>
              </w:rPr>
              <w:t>区（县）</w:t>
            </w:r>
          </w:p>
        </w:tc>
      </w:tr>
      <w:tr w14:paraId="479248D6">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091" w:type="dxa"/>
            <w:gridSpan w:val="2"/>
            <w:noWrap w:val="0"/>
            <w:vAlign w:val="center"/>
          </w:tcPr>
          <w:p w14:paraId="1875F191">
            <w:pPr>
              <w:jc w:val="center"/>
              <w:rPr>
                <w:rFonts w:hint="eastAsia" w:ascii="黑体" w:hAnsi="黑体" w:eastAsia="黑体" w:cs="黑体"/>
                <w:kern w:val="0"/>
                <w:sz w:val="24"/>
                <w:szCs w:val="24"/>
              </w:rPr>
            </w:pPr>
            <w:r>
              <w:rPr>
                <w:rFonts w:hint="eastAsia" w:ascii="黑体" w:hAnsi="黑体" w:eastAsia="黑体" w:cs="黑体"/>
                <w:kern w:val="0"/>
                <w:sz w:val="24"/>
                <w:szCs w:val="24"/>
              </w:rPr>
              <w:t>营业方式</w:t>
            </w:r>
          </w:p>
        </w:tc>
        <w:tc>
          <w:tcPr>
            <w:tcW w:w="6426" w:type="dxa"/>
            <w:noWrap w:val="0"/>
            <w:vAlign w:val="center"/>
          </w:tcPr>
          <w:p w14:paraId="226F2A37">
            <w:pPr>
              <w:jc w:val="left"/>
              <w:rPr>
                <w:rFonts w:hint="eastAsia" w:ascii="黑体" w:hAnsi="黑体" w:eastAsia="黑体" w:cs="黑体"/>
                <w:sz w:val="24"/>
              </w:rPr>
            </w:pPr>
            <w:r>
              <w:rPr>
                <w:rFonts w:hint="eastAsia" w:ascii="黑体" w:hAnsi="黑体" w:eastAsia="黑体" w:cs="黑体"/>
                <w:sz w:val="24"/>
              </w:rPr>
              <w:sym w:font="Wingdings 2" w:char="0052"/>
            </w:r>
            <w:r>
              <w:rPr>
                <w:rFonts w:hint="eastAsia" w:ascii="黑体" w:hAnsi="黑体" w:eastAsia="黑体" w:cs="黑体"/>
                <w:sz w:val="24"/>
              </w:rPr>
              <w:t xml:space="preserve"> 直供   </w:t>
            </w:r>
            <w:r>
              <w:rPr>
                <w:rFonts w:hint="eastAsia" w:ascii="黑体" w:hAnsi="黑体" w:eastAsia="黑体" w:cs="黑体"/>
                <w:sz w:val="24"/>
              </w:rPr>
              <w:sym w:font="Wingdings 2" w:char="00A3"/>
            </w:r>
            <w:r>
              <w:rPr>
                <w:rFonts w:hint="eastAsia" w:ascii="黑体" w:hAnsi="黑体" w:eastAsia="黑体" w:cs="黑体"/>
                <w:sz w:val="24"/>
              </w:rPr>
              <w:t>趸售</w:t>
            </w:r>
          </w:p>
        </w:tc>
      </w:tr>
      <w:tr w14:paraId="22EED5F0">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2091" w:type="dxa"/>
            <w:gridSpan w:val="2"/>
            <w:tcBorders>
              <w:bottom w:val="single" w:color="auto" w:sz="18" w:space="0"/>
            </w:tcBorders>
            <w:noWrap w:val="0"/>
            <w:vAlign w:val="center"/>
          </w:tcPr>
          <w:p w14:paraId="2022772A">
            <w:pPr>
              <w:jc w:val="center"/>
              <w:rPr>
                <w:rFonts w:hint="eastAsia" w:ascii="黑体" w:hAnsi="黑体" w:eastAsia="黑体" w:cs="黑体"/>
                <w:kern w:val="0"/>
                <w:sz w:val="24"/>
                <w:szCs w:val="24"/>
              </w:rPr>
            </w:pPr>
          </w:p>
          <w:p w14:paraId="0EFFBCFE">
            <w:pPr>
              <w:jc w:val="center"/>
              <w:rPr>
                <w:rFonts w:hint="eastAsia" w:ascii="黑体" w:hAnsi="黑体" w:eastAsia="黑体" w:cs="黑体"/>
                <w:kern w:val="0"/>
                <w:sz w:val="24"/>
                <w:szCs w:val="24"/>
              </w:rPr>
            </w:pPr>
            <w:r>
              <w:rPr>
                <w:rFonts w:hint="eastAsia" w:ascii="黑体" w:hAnsi="黑体" w:eastAsia="黑体" w:cs="黑体"/>
                <w:kern w:val="0"/>
                <w:sz w:val="24"/>
                <w:szCs w:val="24"/>
              </w:rPr>
              <w:t>详细区域</w:t>
            </w:r>
          </w:p>
          <w:p w14:paraId="49ABB47C">
            <w:pPr>
              <w:jc w:val="left"/>
              <w:rPr>
                <w:rFonts w:hint="eastAsia" w:ascii="黑体" w:hAnsi="黑体" w:eastAsia="黑体" w:cs="黑体"/>
                <w:kern w:val="0"/>
                <w:sz w:val="24"/>
                <w:szCs w:val="24"/>
              </w:rPr>
            </w:pPr>
          </w:p>
        </w:tc>
        <w:tc>
          <w:tcPr>
            <w:tcW w:w="6426" w:type="dxa"/>
            <w:tcBorders>
              <w:bottom w:val="single" w:color="auto" w:sz="18" w:space="0"/>
            </w:tcBorders>
            <w:noWrap w:val="0"/>
            <w:vAlign w:val="center"/>
          </w:tcPr>
          <w:p w14:paraId="0CB09412">
            <w:pPr>
              <w:snapToGrid/>
              <w:spacing w:line="240" w:lineRule="auto"/>
              <w:rPr>
                <w:rFonts w:ascii="黑体" w:hAnsi="黑体" w:eastAsia="黑体" w:cs="黑体"/>
                <w:i w:val="0"/>
                <w:strike w:val="0"/>
                <w:spacing w:val="0"/>
                <w:sz w:val="24"/>
                <w:u w:val="none"/>
              </w:rPr>
            </w:pPr>
          </w:p>
          <w:p w14:paraId="5F9E0A6A">
            <w:pPr>
              <w:snapToGrid/>
              <w:spacing w:line="240" w:lineRule="auto"/>
              <w:rPr>
                <w:rFonts w:hint="eastAsia" w:ascii="黑体" w:hAnsi="黑体" w:eastAsia="黑体" w:cs="黑体"/>
                <w:kern w:val="0"/>
                <w:sz w:val="24"/>
                <w:szCs w:val="24"/>
              </w:rPr>
            </w:pPr>
            <w:r>
              <w:rPr>
                <w:rFonts w:ascii="黑体" w:hAnsi="黑体" w:eastAsia="黑体" w:cs="黑体"/>
                <w:i w:val="0"/>
                <w:strike w:val="0"/>
                <w:spacing w:val="0"/>
                <w:sz w:val="24"/>
                <w:u w:val="none"/>
              </w:rPr>
              <w:t>南海大道以北、洪泽湖大道以南、京港澳高速公路以东、青州大道以西面积约330平方公里</w:t>
            </w:r>
          </w:p>
          <w:p w14:paraId="76147DDA">
            <w:pPr>
              <w:jc w:val="left"/>
              <w:rPr>
                <w:rFonts w:hint="eastAsia" w:ascii="黑体" w:hAnsi="黑体" w:eastAsia="黑体" w:cs="黑体"/>
                <w:kern w:val="0"/>
                <w:sz w:val="24"/>
                <w:szCs w:val="24"/>
              </w:rPr>
            </w:pPr>
          </w:p>
        </w:tc>
      </w:tr>
      <w:tr w14:paraId="50963A34">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7" w:type="dxa"/>
            <w:gridSpan w:val="3"/>
            <w:tcBorders>
              <w:top w:val="single" w:color="auto" w:sz="18" w:space="0"/>
            </w:tcBorders>
            <w:noWrap w:val="0"/>
            <w:vAlign w:val="center"/>
          </w:tcPr>
          <w:p w14:paraId="59D9CBFA">
            <w:pPr>
              <w:jc w:val="left"/>
              <w:rPr>
                <w:rFonts w:hint="eastAsia" w:ascii="黑体" w:hAnsi="黑体" w:eastAsia="黑体" w:cs="黑体"/>
                <w:kern w:val="0"/>
                <w:sz w:val="24"/>
                <w:szCs w:val="24"/>
              </w:rPr>
            </w:pPr>
            <w:r>
              <w:rPr>
                <w:rFonts w:hint="eastAsia" w:ascii="黑体" w:hAnsi="黑体" w:eastAsia="黑体" w:cs="黑体"/>
                <w:kern w:val="0"/>
                <w:sz w:val="24"/>
                <w:szCs w:val="24"/>
              </w:rPr>
              <w:t>分支机构概况：（见下表）</w:t>
            </w:r>
          </w:p>
        </w:tc>
      </w:tr>
      <w:tr w14:paraId="046CF7A9">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5" w:type="dxa"/>
            <w:noWrap w:val="0"/>
            <w:vAlign w:val="center"/>
          </w:tcPr>
          <w:p w14:paraId="4DFCA062">
            <w:pPr>
              <w:jc w:val="center"/>
              <w:rPr>
                <w:rFonts w:hint="eastAsia" w:ascii="黑体" w:hAnsi="黑体" w:eastAsia="黑体" w:cs="黑体"/>
                <w:kern w:val="0"/>
                <w:sz w:val="24"/>
                <w:szCs w:val="24"/>
              </w:rPr>
            </w:pPr>
            <w:r>
              <w:rPr>
                <w:rFonts w:hint="eastAsia" w:ascii="黑体" w:hAnsi="黑体" w:eastAsia="黑体" w:cs="黑体"/>
                <w:kern w:val="0"/>
                <w:sz w:val="24"/>
                <w:szCs w:val="24"/>
              </w:rPr>
              <w:t>序号</w:t>
            </w:r>
          </w:p>
        </w:tc>
        <w:tc>
          <w:tcPr>
            <w:tcW w:w="7532" w:type="dxa"/>
            <w:gridSpan w:val="2"/>
            <w:noWrap w:val="0"/>
            <w:vAlign w:val="center"/>
          </w:tcPr>
          <w:p w14:paraId="057FD69A">
            <w:pPr>
              <w:jc w:val="center"/>
              <w:rPr>
                <w:rFonts w:hint="eastAsia" w:ascii="黑体" w:hAnsi="黑体" w:eastAsia="黑体" w:cs="黑体"/>
                <w:kern w:val="0"/>
                <w:sz w:val="24"/>
                <w:szCs w:val="24"/>
              </w:rPr>
            </w:pPr>
            <w:r>
              <w:rPr>
                <w:rFonts w:hint="eastAsia" w:ascii="黑体" w:hAnsi="黑体" w:eastAsia="黑体" w:cs="黑体"/>
                <w:kern w:val="0"/>
                <w:sz w:val="24"/>
                <w:szCs w:val="24"/>
              </w:rPr>
              <w:t>分支机构名称</w:t>
            </w:r>
          </w:p>
        </w:tc>
      </w:tr>
      <w:tr w14:paraId="5B51D4A1">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5" w:type="dxa"/>
            <w:shd w:val="clear" w:color="auto" w:fill="auto"/>
            <w:noWrap w:val="0"/>
            <w:vAlign w:val="center"/>
          </w:tcPr>
          <w:p w14:paraId="720A6D86">
            <w:pPr>
              <w:jc w:val="center"/>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1</w:t>
            </w:r>
          </w:p>
        </w:tc>
        <w:tc>
          <w:tcPr>
            <w:tcW w:w="7532" w:type="dxa"/>
            <w:gridSpan w:val="2"/>
            <w:shd w:val="clear" w:color="auto" w:fill="auto"/>
            <w:noWrap w:val="0"/>
            <w:vAlign w:val="center"/>
          </w:tcPr>
          <w:p w14:paraId="252112EB">
            <w:pPr>
              <w:jc w:val="center"/>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rPr>
              <w:t>舜英路营业厅</w:t>
            </w:r>
          </w:p>
        </w:tc>
      </w:tr>
      <w:tr w14:paraId="308E6AD1">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5" w:type="dxa"/>
            <w:shd w:val="clear" w:color="auto" w:fill="auto"/>
            <w:noWrap w:val="0"/>
            <w:vAlign w:val="center"/>
          </w:tcPr>
          <w:p w14:paraId="6C48860D">
            <w:pPr>
              <w:jc w:val="center"/>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2</w:t>
            </w:r>
          </w:p>
        </w:tc>
        <w:tc>
          <w:tcPr>
            <w:tcW w:w="7532" w:type="dxa"/>
            <w:gridSpan w:val="2"/>
            <w:shd w:val="clear" w:color="auto" w:fill="auto"/>
            <w:noWrap w:val="0"/>
            <w:vAlign w:val="center"/>
          </w:tcPr>
          <w:p w14:paraId="2007E53A">
            <w:pPr>
              <w:jc w:val="center"/>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rPr>
              <w:t>雍州路营业厅</w:t>
            </w:r>
          </w:p>
        </w:tc>
      </w:tr>
      <w:tr w14:paraId="098A08B0">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5" w:type="dxa"/>
            <w:shd w:val="clear" w:color="auto" w:fill="auto"/>
            <w:noWrap w:val="0"/>
            <w:vAlign w:val="center"/>
          </w:tcPr>
          <w:p w14:paraId="0484DC56">
            <w:pPr>
              <w:jc w:val="center"/>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3</w:t>
            </w:r>
          </w:p>
        </w:tc>
        <w:tc>
          <w:tcPr>
            <w:tcW w:w="7532" w:type="dxa"/>
            <w:gridSpan w:val="2"/>
            <w:shd w:val="clear" w:color="auto" w:fill="auto"/>
            <w:noWrap w:val="0"/>
            <w:vAlign w:val="center"/>
          </w:tcPr>
          <w:p w14:paraId="2E2F0212">
            <w:pPr>
              <w:jc w:val="center"/>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rPr>
              <w:t>明港供电所</w:t>
            </w:r>
          </w:p>
        </w:tc>
      </w:tr>
      <w:tr w14:paraId="3BC86BEA">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5" w:type="dxa"/>
            <w:shd w:val="clear" w:color="auto" w:fill="auto"/>
            <w:noWrap w:val="0"/>
            <w:vAlign w:val="center"/>
          </w:tcPr>
          <w:p w14:paraId="70C35984">
            <w:pPr>
              <w:jc w:val="center"/>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4</w:t>
            </w:r>
          </w:p>
        </w:tc>
        <w:tc>
          <w:tcPr>
            <w:tcW w:w="7532" w:type="dxa"/>
            <w:gridSpan w:val="2"/>
            <w:shd w:val="clear" w:color="auto" w:fill="auto"/>
            <w:noWrap w:val="0"/>
            <w:vAlign w:val="center"/>
          </w:tcPr>
          <w:p w14:paraId="55C5F6A1">
            <w:pPr>
              <w:jc w:val="center"/>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rPr>
              <w:t>北港供电所</w:t>
            </w:r>
          </w:p>
        </w:tc>
      </w:tr>
      <w:tr w14:paraId="72830BCD">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5" w:type="dxa"/>
            <w:noWrap w:val="0"/>
            <w:vAlign w:val="center"/>
          </w:tcPr>
          <w:p w14:paraId="206847D3">
            <w:pPr>
              <w:rPr>
                <w:rFonts w:hint="eastAsia" w:ascii="黑体" w:hAnsi="黑体" w:eastAsia="黑体" w:cs="黑体"/>
                <w:kern w:val="0"/>
                <w:sz w:val="24"/>
                <w:szCs w:val="24"/>
              </w:rPr>
            </w:pPr>
          </w:p>
        </w:tc>
        <w:tc>
          <w:tcPr>
            <w:tcW w:w="7532" w:type="dxa"/>
            <w:gridSpan w:val="2"/>
            <w:noWrap w:val="0"/>
            <w:vAlign w:val="center"/>
          </w:tcPr>
          <w:p w14:paraId="770262FA">
            <w:pPr>
              <w:jc w:val="center"/>
              <w:rPr>
                <w:rFonts w:hint="eastAsia" w:ascii="黑体" w:hAnsi="黑体" w:eastAsia="黑体" w:cs="黑体"/>
                <w:kern w:val="0"/>
                <w:sz w:val="24"/>
                <w:szCs w:val="24"/>
              </w:rPr>
            </w:pPr>
          </w:p>
        </w:tc>
      </w:tr>
    </w:tbl>
    <w:p w14:paraId="7C12833C">
      <w:pPr>
        <w:ind w:left="210" w:leftChars="100"/>
        <w:rPr>
          <w:rFonts w:hint="eastAsia" w:ascii="黑体" w:hAnsi="黑体" w:eastAsia="黑体" w:cs="黑体"/>
          <w:szCs w:val="21"/>
        </w:rPr>
      </w:pPr>
      <w:r>
        <w:rPr>
          <w:rFonts w:hint="eastAsia" w:ascii="黑体" w:hAnsi="黑体" w:eastAsia="黑体" w:cs="黑体"/>
          <w:szCs w:val="21"/>
        </w:rPr>
        <w:t>注：省级供电企业请填写其所属的各地级供电企业以及由其直接管理的供电营业所；地级供电公司请填写其所属的各县级供电企业以及由其直接管理的供电营业所；县级供电企业请填写其所属的供电营业所。</w:t>
      </w:r>
    </w:p>
    <w:p w14:paraId="0535774D">
      <w:pPr>
        <w:rPr>
          <w:rFonts w:hint="eastAsia" w:ascii="仿宋" w:hAnsi="仿宋" w:eastAsia="仿宋" w:cs="仿宋"/>
          <w:b/>
          <w:bCs/>
          <w:color w:val="FF0000"/>
          <w:sz w:val="24"/>
          <w:szCs w:val="24"/>
          <w:lang w:val="en-US" w:eastAsia="zh-CN"/>
        </w:rPr>
      </w:pPr>
    </w:p>
    <w:p w14:paraId="213A8B50"/>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00C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76CD5B">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4E76CD5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533EC"/>
    <w:rsid w:val="36053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2025-09-17T02:07:00Z</dcterms:created>
  <dc:creator>一只未成年</dc:creator>
  <cp:lastModifiedBy>一只未成年</cp:lastModifiedBy>
  <dcterms:modified xsi:type="dcterms:W3CDTF">2025-09-17T02:07:53Z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F8AFB8F447154E6DB0981B2FC189023E_11</vt:lpwstr>
  </property>
  <property fmtid="{D5CDD505-2E9C-101B-9397-08002B2CF9AE}" pid="4" name="KSOTemplateDocerSaveRecord">
    <vt:lpwstr>eyJoZGlkIjoiYTQ0OGY2ODZiNzdhYzhkMTJkMTQ0Y2NhZWE5NTA0YjkiLCJ1c2VySWQiOiI0MTUyMjM5MzMifQ==</vt:lpwstr>
  </property>
</Properties>
</file>